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6FA3C5DE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121646">
        <w:rPr>
          <w:b/>
          <w:bCs/>
          <w:lang w:val="en-US"/>
        </w:rPr>
        <w:t>11</w:t>
      </w:r>
      <w:r w:rsidR="00FB7080" w:rsidRPr="003729A0">
        <w:rPr>
          <w:b/>
          <w:bCs/>
        </w:rPr>
        <w:t>.0</w:t>
      </w:r>
      <w:r w:rsidR="0096760D">
        <w:rPr>
          <w:b/>
          <w:bCs/>
          <w:lang w:val="en-US"/>
        </w:rPr>
        <w:t>2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414A74C0" w:rsidR="004D4340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r w:rsidR="0086352D">
        <w:t>1</w:t>
      </w:r>
      <w:r w:rsidR="00121646">
        <w:t>52 270 255</w:t>
      </w:r>
      <w:r w:rsidR="00543CE7">
        <w:rPr>
          <w:lang w:val="en-US"/>
        </w:rPr>
        <w:t xml:space="preserve"> </w:t>
      </w:r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440355">
        <w:t>აცრა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86352D">
        <w:rPr>
          <w:lang w:val="en-US"/>
        </w:rPr>
        <w:t>7</w:t>
      </w:r>
      <w:r w:rsidR="00121646">
        <w:t>5</w:t>
      </w:r>
      <w:r w:rsidR="004D4340">
        <w:t xml:space="preserve"> ქვეყანაში.</w:t>
      </w:r>
      <w:r w:rsidR="00BE7658">
        <w:t xml:space="preserve"> </w:t>
      </w:r>
      <w:r w:rsidR="00543CE7">
        <w:t>ბოლო დღეებში</w:t>
      </w:r>
      <w:r w:rsidR="00BE7658">
        <w:t xml:space="preserve"> ვაქცინაცია დაიწყო დამატებით </w:t>
      </w:r>
      <w:r w:rsidR="00121646">
        <w:t>2</w:t>
      </w:r>
      <w:r w:rsidR="00BE7658">
        <w:t xml:space="preserve"> ქვეყანაში.</w:t>
      </w:r>
      <w:r w:rsidR="00012043">
        <w:t xml:space="preserve"> აღნიშნული ტემპით გაგრძელების შემთხვევაში, მოსახლეობის ორი დოზით ასაცრელად და კოლექტიური იმუნიტეტის მისაღწევად (75%) გათვლებით საჭიროა </w:t>
      </w:r>
      <w:r w:rsidR="00121646">
        <w:t>5.5</w:t>
      </w:r>
      <w:r w:rsidR="00012043">
        <w:t xml:space="preserve"> წელი.</w:t>
      </w:r>
    </w:p>
    <w:p w14:paraId="6B7641EE" w14:textId="77777777" w:rsidR="00411497" w:rsidRDefault="00F45F99" w:rsidP="00F45F99">
      <w:r>
        <w:t>არსებული მონაცემებით, 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86352D">
        <w:t>4</w:t>
      </w:r>
      <w:r w:rsidR="00121646">
        <w:t>6 004 726</w:t>
      </w:r>
      <w:r w:rsidR="00862E83">
        <w:t xml:space="preserve">), მეორე </w:t>
      </w:r>
      <w:r>
        <w:t xml:space="preserve">ადგილზეა ჩინეთი </w:t>
      </w:r>
      <w:r w:rsidR="004C34CD">
        <w:t>(</w:t>
      </w:r>
      <w:r w:rsidR="00121646">
        <w:t>40 500 000</w:t>
      </w:r>
      <w:r w:rsidR="004C34CD">
        <w:t xml:space="preserve">) </w:t>
      </w:r>
      <w:r>
        <w:t xml:space="preserve">და </w:t>
      </w:r>
      <w:r w:rsidR="00AC0041">
        <w:t xml:space="preserve">მესამეზეა </w:t>
      </w:r>
      <w:r w:rsidR="00726277">
        <w:t>გაერთიანებული სამეფო</w:t>
      </w:r>
      <w:r w:rsidR="00121646">
        <w:t xml:space="preserve"> (13 577 851</w:t>
      </w:r>
      <w:r w:rsidR="004C34CD">
        <w:t>)</w:t>
      </w:r>
      <w:r>
        <w:t xml:space="preserve">. </w:t>
      </w:r>
      <w:r w:rsidR="00012043">
        <w:t xml:space="preserve">აშშ-ში ერთი დოზით უკვე იმაზე მეტი ადამიანია აცრილი, ვიდრე პანდემიის დაწყებიდან ტესტირებით გამოვლინდა. თუმცა ამ ტემპით თუ გაგრძელდა, ორი დოზით აცრისა და კოლექტიური იმუნიტეტის შესაქმნელად (75%) საჭიროა დაახლეობით </w:t>
      </w:r>
      <w:r w:rsidR="00121646">
        <w:t>9</w:t>
      </w:r>
      <w:r w:rsidR="00012043">
        <w:t xml:space="preserve"> თვე. </w:t>
      </w:r>
    </w:p>
    <w:p w14:paraId="63D9A039" w14:textId="6011B6A3" w:rsidR="00862E83" w:rsidRPr="00411497" w:rsidRDefault="00726277" w:rsidP="00F45F99">
      <w:pPr>
        <w:rPr>
          <w:lang w:val="en-US"/>
        </w:rPr>
      </w:pPr>
      <w:r>
        <w:t>მოსახლეობის მოცვის მიხედვით</w:t>
      </w:r>
      <w:r w:rsidR="00862E83">
        <w:t>, სადაც დასრულებულია ორი დოზით აცრა,</w:t>
      </w:r>
      <w:r>
        <w:t xml:space="preserve"> ლიდერობს </w:t>
      </w:r>
      <w:r w:rsidR="00F45F99">
        <w:t>ისრაელი (</w:t>
      </w:r>
      <w:r w:rsidR="00117E45">
        <w:rPr>
          <w:lang w:val="en-US"/>
        </w:rPr>
        <w:t>2</w:t>
      </w:r>
      <w:r w:rsidR="00121646">
        <w:t>5.4</w:t>
      </w:r>
      <w:r w:rsidR="00862E83">
        <w:t>%</w:t>
      </w:r>
      <w:r w:rsidR="00F45F99">
        <w:t xml:space="preserve">), </w:t>
      </w:r>
      <w:r w:rsidR="00862E83">
        <w:t xml:space="preserve">მეორე ადგილზეა </w:t>
      </w:r>
      <w:r w:rsidR="00121646">
        <w:t xml:space="preserve">სეიშეილი (7%), მესამეზე </w:t>
      </w:r>
      <w:r w:rsidR="00FD6A5D">
        <w:t>აშშ (</w:t>
      </w:r>
      <w:r w:rsidR="00121646">
        <w:t>3.4</w:t>
      </w:r>
      <w:r w:rsidR="00FD6A5D">
        <w:t>%)</w:t>
      </w:r>
      <w:r w:rsidR="00121646">
        <w:t>, მეოთხე</w:t>
      </w:r>
      <w:r w:rsidR="00117E45">
        <w:t xml:space="preserve"> დანია</w:t>
      </w:r>
      <w:r w:rsidR="00862E83">
        <w:t xml:space="preserve"> (</w:t>
      </w:r>
      <w:r w:rsidR="0086352D">
        <w:t>2.</w:t>
      </w:r>
      <w:r w:rsidR="00121646">
        <w:t>6</w:t>
      </w:r>
      <w:r w:rsidR="00862E83">
        <w:t>%)</w:t>
      </w:r>
      <w:r w:rsidR="00121646">
        <w:t xml:space="preserve"> და მეხუთე მალტა (2.5%).</w:t>
      </w:r>
    </w:p>
    <w:p w14:paraId="3AF5502A" w14:textId="516EE594" w:rsidR="00862E83" w:rsidRDefault="00862E83" w:rsidP="00F45F99">
      <w:r>
        <w:t>ისრაელი ასევე ლიდერობს</w:t>
      </w:r>
      <w:r w:rsidR="00FD6A5D">
        <w:t xml:space="preserve"> გაკეთებული დოზებით</w:t>
      </w:r>
      <w:r>
        <w:t xml:space="preserve"> მოსახლე</w:t>
      </w:r>
      <w:r w:rsidR="00FD6A5D">
        <w:t>ო</w:t>
      </w:r>
      <w:r>
        <w:t>ბის მოცვის მიხედვით (</w:t>
      </w:r>
      <w:r w:rsidR="0086352D">
        <w:t>6</w:t>
      </w:r>
      <w:r w:rsidR="00411497">
        <w:rPr>
          <w:lang w:val="en-US"/>
        </w:rPr>
        <w:t>5.68</w:t>
      </w:r>
      <w:r>
        <w:t>%)</w:t>
      </w:r>
      <w:r w:rsidR="00411497">
        <w:rPr>
          <w:lang w:val="en-US"/>
        </w:rPr>
        <w:t xml:space="preserve"> 5 944 284 </w:t>
      </w:r>
      <w:r w:rsidR="00411497">
        <w:t>ადამიანი</w:t>
      </w:r>
      <w:r w:rsidR="00117E45">
        <w:t xml:space="preserve">, </w:t>
      </w:r>
      <w:r w:rsidR="00611A46">
        <w:t>რაც მეტია ვიდრე</w:t>
      </w:r>
      <w:r w:rsidR="00117E45">
        <w:t xml:space="preserve"> აქვთ </w:t>
      </w:r>
      <w:r w:rsidR="004D6FB9">
        <w:t>სეიშელ</w:t>
      </w:r>
      <w:r w:rsidR="00117E45">
        <w:t>ს</w:t>
      </w:r>
      <w:r w:rsidR="00611A46">
        <w:t>ა</w:t>
      </w:r>
      <w:r w:rsidR="004D6FB9">
        <w:t xml:space="preserve"> (</w:t>
      </w:r>
      <w:r w:rsidR="0086352D">
        <w:t>4</w:t>
      </w:r>
      <w:r w:rsidR="00411497">
        <w:rPr>
          <w:lang w:val="en-US"/>
        </w:rPr>
        <w:t>6.27</w:t>
      </w:r>
      <w:r>
        <w:t>%</w:t>
      </w:r>
      <w:r w:rsidR="004D6FB9">
        <w:t>)</w:t>
      </w:r>
      <w:r w:rsidR="00411497">
        <w:t xml:space="preserve"> 44 423 ადამიანი</w:t>
      </w:r>
      <w:r>
        <w:t xml:space="preserve"> </w:t>
      </w:r>
      <w:r w:rsidR="00FD6A5D">
        <w:t>და გაერთიანებულ არაბთა ემირატებ</w:t>
      </w:r>
      <w:r w:rsidR="00611A46">
        <w:t>ში</w:t>
      </w:r>
      <w:r w:rsidR="00FD6A5D">
        <w:t xml:space="preserve"> (</w:t>
      </w:r>
      <w:r w:rsidR="0086352D">
        <w:t>4</w:t>
      </w:r>
      <w:r w:rsidR="00411497">
        <w:rPr>
          <w:lang w:val="en-US"/>
        </w:rPr>
        <w:t>3.58</w:t>
      </w:r>
      <w:r w:rsidR="00FD6A5D">
        <w:t>%)</w:t>
      </w:r>
      <w:r w:rsidR="00411497">
        <w:t xml:space="preserve"> 4 684 658 ადამიანი</w:t>
      </w:r>
      <w:r w:rsidR="004D6FB9">
        <w:t xml:space="preserve">, </w:t>
      </w:r>
      <w:r w:rsidR="00611A46">
        <w:t xml:space="preserve">3-ჯერ მეტი ვიდრე </w:t>
      </w:r>
      <w:r w:rsidR="00F45F99">
        <w:t>გაერთიანებულ სამეფო</w:t>
      </w:r>
      <w:r w:rsidR="00611A46">
        <w:t>ში</w:t>
      </w:r>
      <w:r w:rsidR="00F45F99">
        <w:t xml:space="preserve"> </w:t>
      </w:r>
      <w:r w:rsidR="00FD6A5D">
        <w:t>(</w:t>
      </w:r>
      <w:r w:rsidR="00411497">
        <w:rPr>
          <w:lang w:val="en-US"/>
        </w:rPr>
        <w:t>20.22</w:t>
      </w:r>
      <w:r w:rsidR="00FD6A5D">
        <w:t>%)</w:t>
      </w:r>
      <w:r w:rsidR="00411497">
        <w:t xml:space="preserve"> 13 577 851 ადამიანი</w:t>
      </w:r>
      <w:r w:rsidR="0086352D">
        <w:t xml:space="preserve">, </w:t>
      </w:r>
      <w:r w:rsidR="00611A46">
        <w:t xml:space="preserve">5-ჯერ მეტი ვიდრე </w:t>
      </w:r>
      <w:r w:rsidR="00726277">
        <w:t>აშშ-</w:t>
      </w:r>
      <w:r w:rsidR="00611A46">
        <w:t xml:space="preserve">ში </w:t>
      </w:r>
      <w:r w:rsidR="00FD6A5D">
        <w:t>(</w:t>
      </w:r>
      <w:r w:rsidR="0086352D">
        <w:t>1</w:t>
      </w:r>
      <w:r w:rsidR="00411497">
        <w:rPr>
          <w:lang w:val="en-US"/>
        </w:rPr>
        <w:t>4.01</w:t>
      </w:r>
      <w:r w:rsidR="00FD6A5D">
        <w:t>%)</w:t>
      </w:r>
      <w:r w:rsidR="0086352D">
        <w:t xml:space="preserve"> </w:t>
      </w:r>
      <w:r w:rsidR="00411497">
        <w:t xml:space="preserve"> 46 004 726 ადამიანი </w:t>
      </w:r>
      <w:r w:rsidR="0086352D">
        <w:t>და ბაჰრეინში (1</w:t>
      </w:r>
      <w:r w:rsidR="00411497">
        <w:rPr>
          <w:lang w:val="en-US"/>
        </w:rPr>
        <w:t>4.35</w:t>
      </w:r>
      <w:r w:rsidR="0086352D">
        <w:t>%)</w:t>
      </w:r>
      <w:r w:rsidR="00411497">
        <w:t xml:space="preserve"> 212 940 ადამიანი</w:t>
      </w:r>
      <w:r w:rsidR="00F45F99">
        <w:t>.</w:t>
      </w:r>
      <w:r w:rsidR="004C34CD">
        <w:t xml:space="preserve"> </w:t>
      </w:r>
    </w:p>
    <w:p w14:paraId="1DA7A440" w14:textId="4B03DBBB" w:rsidR="00F45F99" w:rsidRDefault="004C34CD" w:rsidP="00F45F99">
      <w:r>
        <w:t xml:space="preserve">ევროკავშირში ჯამში ამ დროს აცრილია </w:t>
      </w:r>
      <w:r w:rsidR="0086352D">
        <w:t>1</w:t>
      </w:r>
      <w:r w:rsidR="00411497">
        <w:rPr>
          <w:lang w:val="en-US"/>
        </w:rPr>
        <w:t>8 591 129</w:t>
      </w:r>
      <w:r w:rsidR="00FD6A5D">
        <w:t xml:space="preserve"> </w:t>
      </w:r>
      <w:r>
        <w:t>ადამიანი</w:t>
      </w:r>
      <w:r w:rsidR="0024127A">
        <w:t xml:space="preserve"> (</w:t>
      </w:r>
      <w:r w:rsidR="00411497">
        <w:rPr>
          <w:lang w:val="en-US"/>
        </w:rPr>
        <w:t>4.18</w:t>
      </w:r>
      <w:r w:rsidR="0024127A">
        <w:t>%)</w:t>
      </w:r>
      <w:r w:rsidR="004F610C">
        <w:t xml:space="preserve">, საიდანაც ორი დოზით აცრილია </w:t>
      </w:r>
      <w:r w:rsidR="0086352D">
        <w:t>1</w:t>
      </w:r>
      <w:r w:rsidR="00411497">
        <w:rPr>
          <w:lang w:val="en-US"/>
        </w:rPr>
        <w:t>.3</w:t>
      </w:r>
      <w:r w:rsidR="004F610C">
        <w:t>%.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815"/>
        <w:gridCol w:w="2693"/>
        <w:gridCol w:w="2693"/>
      </w:tblGrid>
      <w:tr w:rsidR="00BE7658" w:rsidRPr="00AC0041" w14:paraId="2B1460C1" w14:textId="157257D9" w:rsidTr="00BE7658">
        <w:trPr>
          <w:trHeight w:val="290"/>
          <w:jc w:val="center"/>
        </w:trPr>
        <w:tc>
          <w:tcPr>
            <w:tcW w:w="48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9BC2E6"/>
            <w:noWrap/>
            <w:vAlign w:val="bottom"/>
            <w:hideMark/>
          </w:tcPr>
          <w:p w14:paraId="39E67513" w14:textId="77777777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 w:rsidRPr="00AC004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ქვეყანა</w:t>
            </w:r>
          </w:p>
        </w:tc>
        <w:tc>
          <w:tcPr>
            <w:tcW w:w="269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9BC2E6"/>
            <w:noWrap/>
            <w:vAlign w:val="bottom"/>
            <w:hideMark/>
          </w:tcPr>
          <w:p w14:paraId="59263D8E" w14:textId="510F60A6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 w:rsidRPr="00AC004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აცრილი მოსახლეობის %</w:t>
            </w:r>
          </w:p>
        </w:tc>
        <w:tc>
          <w:tcPr>
            <w:tcW w:w="269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9BC2E6"/>
          </w:tcPr>
          <w:p w14:paraId="5EA0E4EA" w14:textId="0351C398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ორჯერადად აცრილი მოსახლეობის %</w:t>
            </w:r>
          </w:p>
        </w:tc>
      </w:tr>
      <w:tr w:rsidR="00F5179C" w:rsidRPr="00AC0041" w14:paraId="52643427" w14:textId="5D7AD0FA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7D0A2BB" w14:textId="3419C153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ისრაელი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9FFB8E0" w14:textId="084AC995" w:rsidR="00F5179C" w:rsidRPr="00FB29BD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65.68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BAFFD35" w14:textId="55E82E83" w:rsidR="00F5179C" w:rsidRPr="00FB29BD" w:rsidRDefault="00FB29B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  <w:r w:rsidR="00411497">
              <w:rPr>
                <w:rFonts w:ascii="Sylfaen" w:hAnsi="Sylfaen"/>
                <w:b/>
                <w:bCs/>
              </w:rPr>
              <w:t>5.4</w:t>
            </w:r>
          </w:p>
        </w:tc>
      </w:tr>
      <w:tr w:rsidR="00F5179C" w:rsidRPr="00AC0041" w14:paraId="2A0F8AEC" w14:textId="3991B3CB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931A0A5" w14:textId="1EFF2F2C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სეიშელი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FECCA09" w14:textId="3447351A" w:rsidR="00F5179C" w:rsidRPr="00F5179C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46.27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5AB4EE9" w14:textId="1160926F" w:rsidR="00F5179C" w:rsidRDefault="00411497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7</w:t>
            </w:r>
          </w:p>
        </w:tc>
      </w:tr>
      <w:tr w:rsidR="00F5179C" w:rsidRPr="00AC0041" w14:paraId="4A826992" w14:textId="37FF0428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151366F" w14:textId="1D4B8FC8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გაერთიანებული არაბთა ემირატები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3A20ABB" w14:textId="0804E2FF" w:rsidR="00F5179C" w:rsidRPr="0086352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</w:t>
            </w:r>
            <w:r w:rsidR="00411497">
              <w:rPr>
                <w:rFonts w:ascii="Sylfaen" w:hAnsi="Sylfaen"/>
              </w:rPr>
              <w:t>3.58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D4F3F42" w14:textId="22051590" w:rsidR="00F5179C" w:rsidRDefault="00F5179C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F5179C" w:rsidRPr="00AC0041" w14:paraId="550542F9" w14:textId="743AA0D0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818E461" w14:textId="49796797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გაერთიანებული სამეფო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FE04A7" w14:textId="1CF3F5E8" w:rsidR="00F5179C" w:rsidRPr="00FB29BD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20.33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838439A" w14:textId="00AECE0C" w:rsidR="00F5179C" w:rsidRDefault="00F5179C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</w:t>
            </w:r>
            <w:r w:rsidR="0086352D">
              <w:rPr>
                <w:rFonts w:ascii="Sylfaen" w:hAnsi="Sylfaen"/>
                <w:b/>
                <w:bCs/>
              </w:rPr>
              <w:t>8</w:t>
            </w:r>
          </w:p>
        </w:tc>
      </w:tr>
      <w:tr w:rsidR="00F5179C" w:rsidRPr="00AC0041" w14:paraId="64B222B1" w14:textId="71861E1E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5E72F29" w14:textId="49ECA227" w:rsidR="00F5179C" w:rsidRPr="00AC0041" w:rsidRDefault="0041149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ბაჰრეინი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1091687" w14:textId="3C15BAA4" w:rsidR="00F5179C" w:rsidRPr="00FB29B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</w:t>
            </w:r>
            <w:r w:rsidR="00411497">
              <w:rPr>
                <w:rFonts w:ascii="Sylfaen" w:hAnsi="Sylfaen"/>
              </w:rPr>
              <w:t>4.35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13E676C" w14:textId="044731E8" w:rsidR="00F5179C" w:rsidRDefault="00411497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F5179C" w:rsidRPr="00AC0041" w14:paraId="4C9444CC" w14:textId="12128443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0E9BE7D" w14:textId="16159B38" w:rsidR="00F5179C" w:rsidRPr="00AC0041" w:rsidRDefault="0041149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აშშ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23D8140" w14:textId="28D56990" w:rsidR="0086352D" w:rsidRPr="00FB29BD" w:rsidRDefault="00411497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14.01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B68B2A3" w14:textId="046451A7" w:rsidR="00F5179C" w:rsidRPr="00556502" w:rsidRDefault="00411497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3.4</w:t>
            </w:r>
          </w:p>
        </w:tc>
      </w:tr>
      <w:tr w:rsidR="00F5179C" w:rsidRPr="00AC0041" w14:paraId="0A12E0FC" w14:textId="2A9A0F2D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F202A10" w14:textId="774E17F6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მალტა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FFA8D7E" w14:textId="26215A56" w:rsidR="00F5179C" w:rsidRPr="00FB29BD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8.77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34503D7" w14:textId="5F939BEE" w:rsidR="00F5179C" w:rsidRPr="00675A34" w:rsidRDefault="00411497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2.5</w:t>
            </w:r>
          </w:p>
        </w:tc>
      </w:tr>
      <w:tr w:rsidR="00F5179C" w:rsidRPr="00AC0041" w14:paraId="70F3958A" w14:textId="39B14EC9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14DDE98" w14:textId="253D6BBE" w:rsidR="00F5179C" w:rsidRPr="00AC0041" w:rsidRDefault="00675A34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დანია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36125C9" w14:textId="4B030DAE" w:rsidR="00F5179C" w:rsidRPr="00F5179C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6.12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2283C46" w14:textId="1B980D48" w:rsidR="00F5179C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</w:t>
            </w:r>
            <w:r w:rsidR="00411497">
              <w:rPr>
                <w:rFonts w:ascii="Sylfaen" w:hAnsi="Sylfaen"/>
                <w:b/>
                <w:bCs/>
              </w:rPr>
              <w:t>6</w:t>
            </w:r>
          </w:p>
        </w:tc>
      </w:tr>
      <w:tr w:rsidR="00F5179C" w:rsidRPr="00AC0041" w14:paraId="255086C4" w14:textId="3C9D3FAB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BBCC359" w14:textId="041E155D" w:rsidR="00F5179C" w:rsidRPr="00AC0041" w:rsidRDefault="0041149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რუმინეთი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39EFCAF" w14:textId="0910F03D" w:rsidR="00F5179C" w:rsidRPr="00F5179C" w:rsidRDefault="00411497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7A04EB8" w14:textId="5E4737B9" w:rsidR="00F5179C" w:rsidRDefault="00AA32BF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411497">
              <w:rPr>
                <w:rFonts w:ascii="Sylfaen" w:hAnsi="Sylfaen"/>
                <w:b/>
                <w:bCs/>
              </w:rPr>
              <w:t>5</w:t>
            </w:r>
          </w:p>
        </w:tc>
      </w:tr>
      <w:tr w:rsidR="00F5179C" w:rsidRPr="00AC0041" w14:paraId="2C9615F6" w14:textId="5BF8F39C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D4EC1BB" w14:textId="6BD664D4" w:rsidR="00F5179C" w:rsidRPr="00AC0041" w:rsidRDefault="0041149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ისლანდია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16AE312" w14:textId="329F6D6A" w:rsidR="00F5179C" w:rsidRPr="00F5179C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</w:t>
            </w:r>
            <w:r w:rsidR="00675A34">
              <w:rPr>
                <w:rFonts w:ascii="Sylfaen" w:hAnsi="Sylfaen"/>
              </w:rPr>
              <w:t>.</w:t>
            </w:r>
            <w:r w:rsidR="00411497">
              <w:rPr>
                <w:rFonts w:ascii="Sylfaen" w:hAnsi="Sylfaen"/>
              </w:rPr>
              <w:t>95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8A690CB" w14:textId="19EEAB3A" w:rsidR="00F5179C" w:rsidRDefault="00411497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1.4</w:t>
            </w:r>
          </w:p>
        </w:tc>
      </w:tr>
      <w:tr w:rsidR="00F5179C" w:rsidRPr="00AC0041" w14:paraId="5CE630AC" w14:textId="290DB5E2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4D551EA" w14:textId="50995E24" w:rsidR="00F5179C" w:rsidRPr="00AC0041" w:rsidRDefault="0041149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ესპანეთი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6B445CA" w14:textId="3B859AD8" w:rsidR="00F5179C" w:rsidRPr="00F5179C" w:rsidRDefault="003E205A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4.</w:t>
            </w:r>
            <w:r w:rsidR="00411497"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E075594" w14:textId="76F7B8A6" w:rsidR="00F5179C" w:rsidRDefault="003E205A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411497">
              <w:rPr>
                <w:rFonts w:ascii="Sylfaen" w:hAnsi="Sylfaen"/>
                <w:b/>
                <w:bCs/>
              </w:rPr>
              <w:t>9</w:t>
            </w:r>
          </w:p>
        </w:tc>
      </w:tr>
      <w:tr w:rsidR="00F5179C" w:rsidRPr="00AC0041" w14:paraId="7B1D95ED" w14:textId="4A6AC444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5E60B9B" w14:textId="0A048E5E" w:rsidR="00F5179C" w:rsidRPr="00AC0041" w:rsidRDefault="00411497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სლოვენია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57F9F8" w14:textId="0AB7C61C" w:rsidR="00F5179C" w:rsidRPr="00F5179C" w:rsidRDefault="003E205A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</w:t>
            </w:r>
            <w:r w:rsidR="00411497">
              <w:rPr>
                <w:rFonts w:ascii="Sylfaen" w:hAnsi="Sylfaen"/>
              </w:rPr>
              <w:t>74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CF832B3" w14:textId="5C0AD2B0" w:rsidR="00F5179C" w:rsidRDefault="00411497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2.1</w:t>
            </w:r>
          </w:p>
        </w:tc>
      </w:tr>
      <w:tr w:rsidR="0086352D" w:rsidRPr="00AC0041" w14:paraId="21986E9D" w14:textId="58BE009A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90DA873" w14:textId="1694C51A" w:rsidR="0086352D" w:rsidRPr="00AC0041" w:rsidRDefault="003E205A" w:rsidP="008635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პოლონეთი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C040749" w14:textId="37C2ED75" w:rsidR="0086352D" w:rsidRPr="00F5179C" w:rsidRDefault="003E205A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4.</w:t>
            </w:r>
            <w:r w:rsidR="00411497"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67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C29EC4A" w14:textId="78DA917C" w:rsidR="0086352D" w:rsidRDefault="0086352D" w:rsidP="0086352D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411497">
              <w:rPr>
                <w:rFonts w:ascii="Sylfaen" w:hAnsi="Sylfaen"/>
                <w:b/>
                <w:bCs/>
              </w:rPr>
              <w:t>3</w:t>
            </w:r>
          </w:p>
        </w:tc>
      </w:tr>
      <w:tr w:rsidR="0086352D" w:rsidRPr="00AC0041" w14:paraId="03205AE2" w14:textId="3F5A8C47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FD83082" w14:textId="26BD7C12" w:rsidR="0086352D" w:rsidRPr="00AC0041" w:rsidRDefault="00411497" w:rsidP="008635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ლიეტუვა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3C9E343" w14:textId="04F1AD01" w:rsidR="0086352D" w:rsidRPr="00F5179C" w:rsidRDefault="003E205A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</w:t>
            </w:r>
            <w:r w:rsidR="00411497">
              <w:rPr>
                <w:rFonts w:ascii="Sylfaen" w:hAnsi="Sylfaen"/>
              </w:rPr>
              <w:t>67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FC45EE1" w14:textId="36BBC878" w:rsidR="0086352D" w:rsidRDefault="003E205A" w:rsidP="0086352D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411497">
              <w:rPr>
                <w:rFonts w:ascii="Sylfaen" w:hAnsi="Sylfaen"/>
                <w:b/>
                <w:bCs/>
              </w:rPr>
              <w:t>8</w:t>
            </w:r>
          </w:p>
        </w:tc>
      </w:tr>
      <w:tr w:rsidR="0086352D" w:rsidRPr="00AC0041" w14:paraId="6EC3C9AE" w14:textId="7B78A478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B4B45E7" w14:textId="758FA350" w:rsidR="0086352D" w:rsidRPr="00AC0041" w:rsidRDefault="003E205A" w:rsidP="008635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იტალია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C5726E" w14:textId="789D9904" w:rsidR="0086352D" w:rsidRPr="00F5179C" w:rsidRDefault="003E205A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</w:t>
            </w:r>
            <w:r w:rsidR="00411497">
              <w:rPr>
                <w:rFonts w:ascii="Sylfaen" w:hAnsi="Sylfaen"/>
              </w:rPr>
              <w:t>57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E4A7B6A" w14:textId="4C76ED7B" w:rsidR="0086352D" w:rsidRDefault="00411497" w:rsidP="0086352D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</w:tr>
      <w:tr w:rsidR="003E205A" w:rsidRPr="00AC0041" w14:paraId="596A4B60" w14:textId="6A6D7A08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81D000F" w14:textId="508186B7" w:rsidR="003E205A" w:rsidRPr="00AC0041" w:rsidRDefault="00411497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სლოვაკეთი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B98365C" w14:textId="0D64C0FD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</w:t>
            </w:r>
            <w:r w:rsidR="00411497">
              <w:rPr>
                <w:rFonts w:ascii="Sylfaen" w:hAnsi="Sylfaen"/>
              </w:rPr>
              <w:t>44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4EF6DA9" w14:textId="62FB97C0" w:rsidR="003E205A" w:rsidRDefault="00411497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3F3F3F"/>
                <w:sz w:val="21"/>
                <w:szCs w:val="21"/>
                <w:lang w:eastAsia="ka-GE"/>
              </w:rPr>
              <w:t>0.8</w:t>
            </w:r>
          </w:p>
        </w:tc>
      </w:tr>
      <w:tr w:rsidR="003E205A" w:rsidRPr="00AC0041" w14:paraId="43B42548" w14:textId="704E9D52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DDA878D" w14:textId="07834081" w:rsidR="003E205A" w:rsidRPr="00AC0041" w:rsidRDefault="00411497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ესტონეთი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38F18B9" w14:textId="0A42BA95" w:rsidR="003E205A" w:rsidRPr="00F5179C" w:rsidRDefault="00411497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2F64415" w14:textId="5C589606" w:rsidR="003E205A" w:rsidRDefault="00411497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1.4</w:t>
            </w:r>
          </w:p>
        </w:tc>
      </w:tr>
      <w:tr w:rsidR="003E205A" w:rsidRPr="00AC0041" w14:paraId="6FFA2CB6" w14:textId="0C9EA5AF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71071E35" w14:textId="38ACB005" w:rsidR="003E205A" w:rsidRPr="00AC0041" w:rsidRDefault="00411497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ნორვეგია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91EDC67" w14:textId="62B0C5C4" w:rsidR="003E205A" w:rsidRPr="00F5179C" w:rsidRDefault="00411497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4.28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3D46EC10" w14:textId="4BD9FC08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0.9</w:t>
            </w:r>
          </w:p>
        </w:tc>
      </w:tr>
      <w:tr w:rsidR="003E205A" w:rsidRPr="00AC0041" w14:paraId="05161EDA" w14:textId="64DAF235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B924564" w14:textId="6EBBC366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საბერძნეთი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7CF028" w14:textId="0B4BBF02" w:rsidR="003E205A" w:rsidRPr="00F5179C" w:rsidRDefault="00D94281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4.28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3E8AD7A3" w14:textId="2B65CFBE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3E205A" w:rsidRPr="00AC0041" w14:paraId="5DE09A49" w14:textId="6F7F4FC5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CAA4F63" w14:textId="7B43F0CC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ფინეთი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CB459A9" w14:textId="0A4BD73A" w:rsidR="003E205A" w:rsidRPr="00F5179C" w:rsidRDefault="00D94281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4.24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2242451" w14:textId="4F2051FF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3E205A" w:rsidRPr="00AC0041" w14:paraId="5B7337DC" w14:textId="3F91F2B2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C8BBFF5" w14:textId="001BD2E3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გერმანია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84FE0E2" w14:textId="6089AE6E" w:rsidR="003E205A" w:rsidRPr="00F5179C" w:rsidRDefault="00D94281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 w:rsidRPr="00D94281">
              <w:rPr>
                <w:rFonts w:ascii="Sylfaen" w:hAnsi="Sylfaen"/>
              </w:rPr>
              <w:t>4.22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D186424" w14:textId="7B86EC6D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1.3</w:t>
            </w:r>
          </w:p>
        </w:tc>
      </w:tr>
      <w:tr w:rsidR="003E205A" w:rsidRPr="00AC0041" w14:paraId="0EC171C4" w14:textId="0BC6A2E1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E32D321" w14:textId="3D3C7806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lastRenderedPageBreak/>
              <w:t>უნგრეთი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EDA7B85" w14:textId="3D56258E" w:rsidR="003E205A" w:rsidRPr="00F5179C" w:rsidRDefault="00D94281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4.16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E63577F" w14:textId="7D25E69F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1.2</w:t>
            </w:r>
          </w:p>
        </w:tc>
      </w:tr>
      <w:tr w:rsidR="003E205A" w:rsidRPr="00AC0041" w14:paraId="6D8D40C8" w14:textId="24208119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E361484" w14:textId="0AAE5692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ბელგია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BBDDB26" w14:textId="4E8A510C" w:rsidR="003E205A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 w:rsidRPr="00D94281">
              <w:rPr>
                <w:rFonts w:ascii="Sylfaen" w:hAnsi="Sylfaen"/>
              </w:rPr>
              <w:t>4.01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E056D62" w14:textId="622150BD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3E205A" w:rsidRPr="00AC0041" w14:paraId="7A48891A" w14:textId="0141FF27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BF24ED1" w14:textId="4FAABC45" w:rsidR="003E205A" w:rsidRDefault="00D94281" w:rsidP="003E205A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შვედეთი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9C65F72" w14:textId="6ACEE0EB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</w:t>
            </w:r>
            <w:r w:rsidR="00D94281">
              <w:rPr>
                <w:rFonts w:ascii="Sylfaen" w:hAnsi="Sylfae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BE637A2" w14:textId="4F29B45D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0.8</w:t>
            </w:r>
          </w:p>
        </w:tc>
      </w:tr>
      <w:tr w:rsidR="003E205A" w:rsidRPr="00AC0041" w14:paraId="777CFFE6" w14:textId="29F13219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EFB1BC9" w14:textId="6B2DB6F3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საფრანგეთი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265D3D8" w14:textId="06F7DAE0" w:rsidR="003E205A" w:rsidRPr="00F5179C" w:rsidRDefault="00D94281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3.64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51BABC5" w14:textId="73445F01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</w:t>
            </w:r>
            <w:r w:rsidR="00D94281">
              <w:rPr>
                <w:rFonts w:ascii="Sylfaen" w:hAnsi="Sylfaen"/>
                <w:b/>
                <w:bCs/>
              </w:rPr>
              <w:t>6</w:t>
            </w:r>
          </w:p>
        </w:tc>
      </w:tr>
      <w:tr w:rsidR="003E205A" w:rsidRPr="00AC0041" w14:paraId="16DF7838" w14:textId="3199715E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172131E" w14:textId="53D080C3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ჩეხეთი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054236A" w14:textId="6158C21D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</w:t>
            </w:r>
            <w:r w:rsidR="00D94281">
              <w:rPr>
                <w:rFonts w:ascii="Sylfaen" w:hAnsi="Sylfaen"/>
              </w:rPr>
              <w:t>59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69F03F4" w14:textId="34C657E9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1.1</w:t>
            </w:r>
          </w:p>
        </w:tc>
      </w:tr>
      <w:tr w:rsidR="003E205A" w:rsidRPr="00AC0041" w14:paraId="6F636184" w14:textId="7D679B8D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613C69A" w14:textId="51807371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ავსტრია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FB6B5A6" w14:textId="545817AA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</w:t>
            </w:r>
            <w:r w:rsidR="00D94281">
              <w:rPr>
                <w:rFonts w:ascii="Sylfaen" w:hAnsi="Sylfaen"/>
              </w:rPr>
              <w:t>54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AC7705B" w14:textId="13C072AC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3E205A" w:rsidRPr="00AC0041" w14:paraId="0EDF65FB" w14:textId="202DF78D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2A0F858" w14:textId="7BAC524D" w:rsidR="003E205A" w:rsidRPr="00AC0041" w:rsidRDefault="00D94281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ხორვატია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641752" w14:textId="067CC355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</w:t>
            </w:r>
            <w:r w:rsidR="00D94281">
              <w:rPr>
                <w:rFonts w:ascii="Sylfaen" w:hAnsi="Sylfaen"/>
              </w:rPr>
              <w:t>52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E7EA14F" w14:textId="6A8B23BD" w:rsidR="003E205A" w:rsidRDefault="00D94281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D94281" w:rsidRPr="00AC0041" w14:paraId="69186A08" w14:textId="7AFF194E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B5802B6" w14:textId="079F7A9D" w:rsidR="00D94281" w:rsidRPr="00AC0041" w:rsidRDefault="00D94281" w:rsidP="00D942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თურქეთი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A6CC041" w14:textId="41ECA41C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3.38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77ABBB9" w14:textId="5EC5863D" w:rsidR="00D94281" w:rsidRDefault="00D94281" w:rsidP="00D94281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D94281" w:rsidRPr="00AC0041" w14:paraId="1E834327" w14:textId="2A8081BF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8A8AEBD" w14:textId="0C2F894B" w:rsidR="00D94281" w:rsidRPr="00AC0041" w:rsidRDefault="00D94281" w:rsidP="00D942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კანადა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A446FD7" w14:textId="774E33E4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3.06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EFE588D" w14:textId="6FE1F730" w:rsidR="00D94281" w:rsidRPr="00CE48E2" w:rsidRDefault="00D94281" w:rsidP="00D94281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0.6</w:t>
            </w:r>
          </w:p>
        </w:tc>
      </w:tr>
      <w:tr w:rsidR="00D94281" w:rsidRPr="00AC0041" w14:paraId="519FF8E1" w14:textId="1E97DCBC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CB403EA" w14:textId="16B2B4D3" w:rsidR="00D94281" w:rsidRPr="00AC0041" w:rsidRDefault="00D94281" w:rsidP="00D942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ლუქსემბურგი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106EC32" w14:textId="49D4A914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3.04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2FBE506" w14:textId="645EE9B8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0.7</w:t>
            </w:r>
          </w:p>
        </w:tc>
      </w:tr>
      <w:tr w:rsidR="00D94281" w:rsidRPr="00AC0041" w14:paraId="71FB9002" w14:textId="548DF105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1547C03" w14:textId="35CEFE76" w:rsidR="00D94281" w:rsidRPr="00AC0041" w:rsidRDefault="00D94281" w:rsidP="00D9428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ჩინეთი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126363D" w14:textId="33E05148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2.89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4641E7D" w14:textId="3A24611A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D94281" w:rsidRPr="00AC0041" w14:paraId="264AE6E7" w14:textId="6FF27ACC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AD0925D" w14:textId="3E17E593" w:rsidR="00D94281" w:rsidRPr="00AC0041" w:rsidRDefault="00D94281" w:rsidP="00D9428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ნიდერლანდები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E8BDA85" w14:textId="318E2F71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2.67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45DD8B3" w14:textId="5376B066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D94281" w:rsidRPr="0016585B" w14:paraId="686EDA45" w14:textId="5F4F16C7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288E371" w14:textId="768B760A" w:rsidR="00D94281" w:rsidRPr="00AC0041" w:rsidRDefault="00D94281" w:rsidP="00D9428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ლატვია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88A3060" w14:textId="09BFB8DD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1.71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829C2A1" w14:textId="428AABA2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0.8</w:t>
            </w:r>
          </w:p>
        </w:tc>
      </w:tr>
      <w:tr w:rsidR="00D94281" w:rsidRPr="00AC0041" w14:paraId="099F7880" w14:textId="751CA1BB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7FB86B98" w14:textId="5F3C43D5" w:rsidR="00D94281" w:rsidRPr="00AC0041" w:rsidRDefault="00D94281" w:rsidP="00D9428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საუდის არაბეთი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04A0F3" w14:textId="3634AE5F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.3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6757DE4" w14:textId="567B5E6F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D94281" w:rsidRPr="00AC0041" w14:paraId="7A50D756" w14:textId="446B7084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5DE8165" w14:textId="004F46EC" w:rsidR="00D94281" w:rsidRPr="00AC0041" w:rsidRDefault="00D94281" w:rsidP="00D9428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ბულგარეთი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16D0B1" w14:textId="4A7898F7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8C845E0" w14:textId="314A3A58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0.3</w:t>
            </w:r>
          </w:p>
        </w:tc>
      </w:tr>
      <w:tr w:rsidR="00D94281" w:rsidRPr="00AC0041" w14:paraId="4F61390F" w14:textId="662D9EFB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A61F18F" w14:textId="1761C0DE" w:rsidR="00D94281" w:rsidRPr="00AC0041" w:rsidRDefault="00D94281" w:rsidP="00D9428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მექსიკა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A7CC367" w14:textId="4EFA90EC" w:rsidR="00D94281" w:rsidRPr="00F5179C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.57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F38DFA4" w14:textId="169DE5D4" w:rsidR="00D94281" w:rsidRDefault="00D94281" w:rsidP="00D9428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0.1</w:t>
            </w:r>
          </w:p>
        </w:tc>
      </w:tr>
      <w:tr w:rsidR="00D94281" w:rsidRPr="00AC0041" w14:paraId="53850A1C" w14:textId="43E89C53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B034C83" w14:textId="1C30CA2F" w:rsidR="00D94281" w:rsidRPr="00AC0041" w:rsidRDefault="00D94281" w:rsidP="00D94281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რუსეთი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89B291C" w14:textId="402E6DA6" w:rsidR="00D94281" w:rsidRPr="00F5179C" w:rsidRDefault="00D94281" w:rsidP="00D94281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.55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DC1FED5" w14:textId="2E105D23" w:rsidR="00D94281" w:rsidRPr="00AE6089" w:rsidRDefault="00D94281" w:rsidP="00D94281">
            <w:pPr>
              <w:spacing w:after="0" w:line="240" w:lineRule="auto"/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4281" w:rsidRPr="00286058" w14:paraId="6E663C95" w14:textId="265A13B0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1E1C670" w14:textId="208C4335" w:rsidR="00D94281" w:rsidRPr="00AC0041" w:rsidRDefault="00D94281" w:rsidP="00D94281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ინდოეთი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86909A" w14:textId="1362FE00" w:rsidR="00D94281" w:rsidRPr="00F5179C" w:rsidRDefault="00D94281" w:rsidP="00D94281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.48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8B20666" w14:textId="0FEA3913" w:rsidR="00D94281" w:rsidRDefault="00D94281" w:rsidP="00D94281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94281" w:rsidRPr="00AC0041" w14:paraId="025D3507" w14:textId="10AC717E" w:rsidTr="006203A0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32F1BC2" w14:textId="1F329196" w:rsidR="00D94281" w:rsidRPr="00AC0041" w:rsidRDefault="00D94281" w:rsidP="00D94281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ალბანეთი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148D697" w14:textId="213752E0" w:rsidR="00D94281" w:rsidRPr="00F5179C" w:rsidRDefault="00D94281" w:rsidP="00D94281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</w:t>
            </w: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28A9A9B" w14:textId="7BFE44A2" w:rsidR="00D94281" w:rsidRDefault="00D94281" w:rsidP="00D94281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AA3A5BD" w14:textId="627316F1" w:rsidR="004C0BB7" w:rsidRDefault="004C0BB7">
      <w:pPr>
        <w:rPr>
          <w:noProof/>
        </w:rPr>
      </w:pPr>
    </w:p>
    <w:p w14:paraId="1E56F945" w14:textId="77777777" w:rsidR="00D94281" w:rsidRDefault="00D94281">
      <w:pPr>
        <w:rPr>
          <w:noProof/>
        </w:rPr>
      </w:pPr>
      <w:r>
        <w:rPr>
          <w:noProof/>
        </w:rPr>
        <w:t>აცრა დაწყებულია:</w:t>
      </w:r>
    </w:p>
    <w:p w14:paraId="35E472EA" w14:textId="77777777" w:rsidR="006203A0" w:rsidRDefault="00D94281">
      <w:pPr>
        <w:rPr>
          <w:noProof/>
          <w:lang w:val="en-US"/>
        </w:rPr>
      </w:pPr>
      <w:r>
        <w:rPr>
          <w:noProof/>
        </w:rPr>
        <w:t xml:space="preserve">მალდივი, 20 161 ადამიანი, 5.42%; კიპრი, 32 837 ადამიანი, 3.75%; შრი ლანკა 161 773 ადამიანი, 0.74%; </w:t>
      </w:r>
      <w:r w:rsidR="006203A0">
        <w:rPr>
          <w:noProof/>
        </w:rPr>
        <w:t>ნეპალი 158 487 ადამიანი, 0.56%; პანამა 12 441 ადამიანი, 0.29%; ეგვიპტე, 1 315 ადამიანი, 0%; გვინეა 55 ადამიანი, 0%; ბანგლადეში 526 ადამიანი, 0%</w:t>
      </w:r>
      <w:r w:rsidR="006203A0">
        <w:rPr>
          <w:noProof/>
          <w:lang w:val="en-US"/>
        </w:rPr>
        <w:t>.</w:t>
      </w:r>
    </w:p>
    <w:p w14:paraId="744404E6" w14:textId="5C8618FD" w:rsidR="00D94281" w:rsidRDefault="006203A0">
      <w:pPr>
        <w:rPr>
          <w:noProof/>
        </w:rPr>
      </w:pPr>
      <w:r>
        <w:rPr>
          <w:noProof/>
        </w:rPr>
        <w:t xml:space="preserve">აზერბაიჯანმა მიიღო 848 000 დოზა ვაქცინა და აცრები დაიწყო 18 იანვარს, ჩინური </w:t>
      </w:r>
      <w:r>
        <w:rPr>
          <w:noProof/>
          <w:lang w:val="en-US"/>
        </w:rPr>
        <w:t>CoronaVac-</w:t>
      </w:r>
      <w:r>
        <w:rPr>
          <w:noProof/>
        </w:rPr>
        <w:t>ით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. ჯამში ქვეყანა ელოდება 4 მილიონ დოზა </w:t>
      </w:r>
      <w:r>
        <w:rPr>
          <w:noProof/>
          <w:lang w:val="en-US"/>
        </w:rPr>
        <w:t>CoronaVac-</w:t>
      </w:r>
      <w:r>
        <w:rPr>
          <w:noProof/>
        </w:rPr>
        <w:t xml:space="preserve">ს და ასევე გარკვეულ 506 500 </w:t>
      </w:r>
      <w:r>
        <w:rPr>
          <w:noProof/>
          <w:lang w:val="en-US"/>
        </w:rPr>
        <w:t>AstraZeneca</w:t>
      </w:r>
      <w:r>
        <w:rPr>
          <w:noProof/>
        </w:rPr>
        <w:t xml:space="preserve">-ს  </w:t>
      </w:r>
      <w:r>
        <w:rPr>
          <w:noProof/>
          <w:lang w:val="en-US"/>
        </w:rPr>
        <w:t xml:space="preserve">COVAX </w:t>
      </w:r>
      <w:r>
        <w:rPr>
          <w:noProof/>
        </w:rPr>
        <w:t xml:space="preserve">პლატფორმიდან. 6 თებერვლისთვის პირველი დოზით აცრილია 65 000 ადამიანი, საიდანაც უმეტესობა სამედიცინო მუშაკია. 8 თებერვლიდან დაიწყო მეორე პრიორიტეტული ჯგუფის - 65 წლის და მეტი ხანდაზმულების აცრა. მათთვის აცრაზე რეგისტრაცია უკვე შესაძლებელია ან ონლაინ ჯავშანით, ან სატელეფონო რეზერვაციით - პოლიკლინიკაში. </w:t>
      </w:r>
      <w:r w:rsidR="00D94281">
        <w:rPr>
          <w:noProof/>
        </w:rPr>
        <w:t xml:space="preserve"> </w:t>
      </w:r>
    </w:p>
    <w:p w14:paraId="484EC8CF" w14:textId="36B8F9C0" w:rsidR="006203A0" w:rsidRPr="005C2FBA" w:rsidRDefault="006203A0">
      <w:pPr>
        <w:rPr>
          <w:noProof/>
        </w:rPr>
      </w:pPr>
      <w:r>
        <w:rPr>
          <w:noProof/>
        </w:rPr>
        <w:t xml:space="preserve">აზერბაიჯანთან ერთად ასევე უკრაინა მიიღებს რუსულ-ბრიტანული წარმოების </w:t>
      </w:r>
      <w:r w:rsidRPr="005C2FBA">
        <w:rPr>
          <w:noProof/>
        </w:rPr>
        <w:t>Sputkik V</w:t>
      </w:r>
      <w:r>
        <w:rPr>
          <w:noProof/>
        </w:rPr>
        <w:t xml:space="preserve">-სა და </w:t>
      </w:r>
      <w:r w:rsidRPr="005C2FBA">
        <w:rPr>
          <w:noProof/>
        </w:rPr>
        <w:t>AstraZeneca-</w:t>
      </w:r>
      <w:r>
        <w:rPr>
          <w:noProof/>
        </w:rPr>
        <w:t xml:space="preserve">ს, კვლევის ფარგლებში. ასევე, ევროკომისია დაპირებულია ვაქცინების მიწოდებას უკრაინისთვის. ამ ეტაპზე გეგმაშია </w:t>
      </w:r>
      <w:r w:rsidR="005C2FBA">
        <w:rPr>
          <w:noProof/>
        </w:rPr>
        <w:t xml:space="preserve">8 მლნ მიღება </w:t>
      </w:r>
      <w:r w:rsidR="005C2FBA" w:rsidRPr="005C2FBA">
        <w:rPr>
          <w:noProof/>
        </w:rPr>
        <w:t>COVAX-</w:t>
      </w:r>
      <w:r w:rsidR="005C2FBA">
        <w:rPr>
          <w:noProof/>
        </w:rPr>
        <w:t xml:space="preserve">იდან, 5 მლნ-მდე </w:t>
      </w:r>
      <w:r w:rsidR="005C2FBA" w:rsidRPr="005C2FBA">
        <w:rPr>
          <w:noProof/>
        </w:rPr>
        <w:t>CoronaVac</w:t>
      </w:r>
      <w:r w:rsidR="005C2FBA">
        <w:rPr>
          <w:noProof/>
        </w:rPr>
        <w:t xml:space="preserve"> და 12 მლნ </w:t>
      </w:r>
      <w:r w:rsidR="005C2FBA" w:rsidRPr="005C2FBA">
        <w:rPr>
          <w:noProof/>
        </w:rPr>
        <w:t xml:space="preserve">AZstraZeneca </w:t>
      </w:r>
      <w:r w:rsidR="005C2FBA">
        <w:rPr>
          <w:noProof/>
        </w:rPr>
        <w:t xml:space="preserve">და </w:t>
      </w:r>
      <w:r w:rsidR="005C2FBA" w:rsidRPr="005C2FBA">
        <w:rPr>
          <w:noProof/>
        </w:rPr>
        <w:t>Novavax</w:t>
      </w:r>
      <w:r w:rsidR="005C2FBA">
        <w:rPr>
          <w:rStyle w:val="FootnoteReference"/>
          <w:noProof/>
        </w:rPr>
        <w:footnoteReference w:id="3"/>
      </w:r>
      <w:r w:rsidR="005C2FBA" w:rsidRPr="005C2FBA">
        <w:rPr>
          <w:noProof/>
        </w:rPr>
        <w:t>.</w:t>
      </w:r>
      <w:r w:rsidR="005C2FBA">
        <w:rPr>
          <w:noProof/>
        </w:rPr>
        <w:t xml:space="preserve"> ოფიციალური უკრაინის კონტროლირებად ტერიტორიაზე აცრები არ დაწყებულა. </w:t>
      </w:r>
    </w:p>
    <w:p w14:paraId="18029BB7" w14:textId="4BF36E43" w:rsidR="007E2AD4" w:rsidRDefault="007E2AD4" w:rsidP="00675A34">
      <w:pPr>
        <w:pStyle w:val="Caption"/>
      </w:pPr>
    </w:p>
    <w:p w14:paraId="101758A5" w14:textId="16C2FC65" w:rsidR="001A685B" w:rsidRDefault="001A685B" w:rsidP="00F522A4">
      <w:pPr>
        <w:jc w:val="center"/>
        <w:rPr>
          <w:noProof/>
        </w:rPr>
      </w:pPr>
    </w:p>
    <w:p w14:paraId="51597293" w14:textId="01575ADA" w:rsidR="00611A46" w:rsidRDefault="00611A46" w:rsidP="00F522A4">
      <w:pPr>
        <w:jc w:val="center"/>
        <w:rPr>
          <w:noProof/>
        </w:rPr>
      </w:pPr>
    </w:p>
    <w:p w14:paraId="0F44FE9E" w14:textId="0593133B" w:rsidR="00611A46" w:rsidRDefault="00BE3C02" w:rsidP="00F522A4">
      <w:pPr>
        <w:jc w:val="center"/>
      </w:pPr>
      <w:r>
        <w:rPr>
          <w:noProof/>
        </w:rPr>
        <w:lastRenderedPageBreak/>
        <w:drawing>
          <wp:inline distT="0" distB="0" distL="0" distR="0" wp14:anchorId="45D17669" wp14:editId="33C53C90">
            <wp:extent cx="6169025" cy="4354430"/>
            <wp:effectExtent l="0" t="0" r="317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598" cy="435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FC5D" w14:textId="77777777" w:rsidR="00BE3C02" w:rsidRDefault="00BE3C02">
      <w:r>
        <w:rPr>
          <w:noProof/>
        </w:rPr>
        <w:drawing>
          <wp:inline distT="0" distB="0" distL="0" distR="0" wp14:anchorId="5A631D60" wp14:editId="1FA81725">
            <wp:extent cx="6423284" cy="4533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059" cy="454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21D2" w14:textId="0C7A6D5A" w:rsidR="005F23D2" w:rsidRDefault="00EB4CC3">
      <w:r>
        <w:lastRenderedPageBreak/>
        <w:t xml:space="preserve">კანდიდატი და ავტორიზებული ვაქცინები, </w:t>
      </w:r>
      <w:r w:rsidR="00BE3C02">
        <w:rPr>
          <w:lang w:val="en-US"/>
        </w:rPr>
        <w:t>11</w:t>
      </w:r>
      <w:r>
        <w:t>.0</w:t>
      </w:r>
      <w:r w:rsidR="00675A34">
        <w:rPr>
          <w:lang w:val="en-US"/>
        </w:rPr>
        <w:t>2</w:t>
      </w:r>
      <w:r>
        <w:t>.2021</w:t>
      </w:r>
      <w:r>
        <w:rPr>
          <w:rStyle w:val="FootnoteReference"/>
        </w:rPr>
        <w:footnoteReference w:id="4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701"/>
      </w:tblGrid>
      <w:tr w:rsidR="00EB4CC3" w14:paraId="60C33866" w14:textId="77777777" w:rsidTr="00286058">
        <w:tc>
          <w:tcPr>
            <w:tcW w:w="8217" w:type="dxa"/>
          </w:tcPr>
          <w:p w14:paraId="67263F93" w14:textId="01167332" w:rsidR="00EB4CC3" w:rsidRDefault="00EB4CC3">
            <w:r>
              <w:t>3 ფაზის კვლევა (ფართომასშტაბიანი ეფექტურობის და უსაფრთხოების კვლევა)</w:t>
            </w:r>
          </w:p>
        </w:tc>
        <w:tc>
          <w:tcPr>
            <w:tcW w:w="1701" w:type="dxa"/>
          </w:tcPr>
          <w:p w14:paraId="4161D207" w14:textId="6372A884" w:rsidR="00EB4CC3" w:rsidRDefault="00EB4CC3">
            <w:r>
              <w:t>20</w:t>
            </w:r>
          </w:p>
        </w:tc>
      </w:tr>
      <w:tr w:rsidR="00EB4CC3" w14:paraId="11754337" w14:textId="77777777" w:rsidTr="00286058">
        <w:tc>
          <w:tcPr>
            <w:tcW w:w="8217" w:type="dxa"/>
          </w:tcPr>
          <w:p w14:paraId="3C578370" w14:textId="29F63D96" w:rsidR="00EB4CC3" w:rsidRDefault="00EB4CC3">
            <w:r>
              <w:t>2 ფაზის კვლევა (უსაფრთხოების კვლევა) (უსაფრთხოებისა და დოზირების კვლევა)</w:t>
            </w:r>
          </w:p>
        </w:tc>
        <w:tc>
          <w:tcPr>
            <w:tcW w:w="1701" w:type="dxa"/>
          </w:tcPr>
          <w:p w14:paraId="045A2620" w14:textId="527470F9" w:rsidR="00EB4CC3" w:rsidRDefault="007E2AD4">
            <w:r>
              <w:t>2</w:t>
            </w:r>
            <w:r w:rsidR="00BE3C02">
              <w:rPr>
                <w:lang w:val="en-US"/>
              </w:rPr>
              <w:t xml:space="preserve">7 </w:t>
            </w:r>
            <w:r w:rsidR="00713317" w:rsidRPr="00713317">
              <w:rPr>
                <w:i/>
                <w:iCs/>
                <w:color w:val="FF0000"/>
              </w:rPr>
              <w:t>(+</w:t>
            </w:r>
            <w:r w:rsidR="00BE3C02">
              <w:rPr>
                <w:i/>
                <w:iCs/>
                <w:color w:val="FF0000"/>
                <w:lang w:val="en-US"/>
              </w:rPr>
              <w:t>1</w:t>
            </w:r>
            <w:r w:rsidR="00713317" w:rsidRPr="00713317">
              <w:rPr>
                <w:i/>
                <w:iCs/>
                <w:color w:val="FF0000"/>
              </w:rPr>
              <w:t>)</w:t>
            </w:r>
          </w:p>
        </w:tc>
      </w:tr>
      <w:tr w:rsidR="00EB4CC3" w14:paraId="62C8B257" w14:textId="77777777" w:rsidTr="00286058">
        <w:tc>
          <w:tcPr>
            <w:tcW w:w="8217" w:type="dxa"/>
          </w:tcPr>
          <w:p w14:paraId="5AA04130" w14:textId="3D30C373" w:rsidR="00EB4CC3" w:rsidRDefault="00EB4CC3">
            <w:r>
              <w:t>1 ფაზის კვლევა</w:t>
            </w:r>
          </w:p>
        </w:tc>
        <w:tc>
          <w:tcPr>
            <w:tcW w:w="1701" w:type="dxa"/>
          </w:tcPr>
          <w:p w14:paraId="50F1AEB8" w14:textId="70E370CA" w:rsidR="00EB4CC3" w:rsidRPr="00EF3E94" w:rsidRDefault="006A22E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E3C02">
              <w:rPr>
                <w:lang w:val="en-US"/>
              </w:rPr>
              <w:t>7</w:t>
            </w:r>
            <w:r w:rsidR="00C26AAA">
              <w:rPr>
                <w:lang w:val="en-US"/>
              </w:rPr>
              <w:t xml:space="preserve"> </w:t>
            </w:r>
            <w:r w:rsidR="00C26AAA" w:rsidRPr="00C26AAA">
              <w:rPr>
                <w:i/>
                <w:iCs/>
                <w:color w:val="FF0000"/>
                <w:lang w:val="en-US"/>
              </w:rPr>
              <w:t>(</w:t>
            </w:r>
            <w:r w:rsidR="00BE3C02">
              <w:rPr>
                <w:i/>
                <w:iCs/>
                <w:color w:val="FF0000"/>
                <w:lang w:val="en-US"/>
              </w:rPr>
              <w:t>+2</w:t>
            </w:r>
            <w:r w:rsidR="00C26AAA" w:rsidRPr="00C26AAA">
              <w:rPr>
                <w:i/>
                <w:iCs/>
                <w:color w:val="FF0000"/>
                <w:lang w:val="en-US"/>
              </w:rPr>
              <w:t>)</w:t>
            </w:r>
          </w:p>
        </w:tc>
      </w:tr>
      <w:tr w:rsidR="00EB4CC3" w14:paraId="7EBB9B65" w14:textId="77777777" w:rsidTr="00286058">
        <w:tc>
          <w:tcPr>
            <w:tcW w:w="8217" w:type="dxa"/>
          </w:tcPr>
          <w:p w14:paraId="486EAA37" w14:textId="048A12AB" w:rsidR="00EB4CC3" w:rsidRDefault="00EB4CC3" w:rsidP="00EB4CC3">
            <w:r>
              <w:t xml:space="preserve">ავტორიზებული (ნებადართულია </w:t>
            </w:r>
            <w:r w:rsidR="0016585B">
              <w:t xml:space="preserve">სრულად </w:t>
            </w:r>
            <w:r>
              <w:t>ფართო მოხმარებისთვის)</w:t>
            </w:r>
          </w:p>
        </w:tc>
        <w:tc>
          <w:tcPr>
            <w:tcW w:w="1701" w:type="dxa"/>
          </w:tcPr>
          <w:p w14:paraId="5884EE6C" w14:textId="5A90A9AA" w:rsidR="00EB4CC3" w:rsidRPr="0016585B" w:rsidRDefault="00713317">
            <w:r>
              <w:t xml:space="preserve">4 </w:t>
            </w:r>
          </w:p>
        </w:tc>
      </w:tr>
      <w:tr w:rsidR="00EB4CC3" w14:paraId="4A74FBB1" w14:textId="77777777" w:rsidTr="00286058">
        <w:tc>
          <w:tcPr>
            <w:tcW w:w="8217" w:type="dxa"/>
          </w:tcPr>
          <w:p w14:paraId="7E455CAF" w14:textId="3966DC02" w:rsidR="00EB4CC3" w:rsidRDefault="00EB4CC3" w:rsidP="00EB4CC3">
            <w:r>
              <w:t>შეზღუდული (ადრეული) გამოყენება</w:t>
            </w:r>
          </w:p>
        </w:tc>
        <w:tc>
          <w:tcPr>
            <w:tcW w:w="1701" w:type="dxa"/>
          </w:tcPr>
          <w:p w14:paraId="4601B476" w14:textId="7EB1637D" w:rsidR="00EB4CC3" w:rsidRPr="00713317" w:rsidRDefault="00713317" w:rsidP="00EB4CC3">
            <w:r>
              <w:t>6</w:t>
            </w:r>
          </w:p>
        </w:tc>
      </w:tr>
      <w:tr w:rsidR="00EB4CC3" w14:paraId="4C30EBB0" w14:textId="77777777" w:rsidTr="00286058">
        <w:tc>
          <w:tcPr>
            <w:tcW w:w="8217" w:type="dxa"/>
          </w:tcPr>
          <w:p w14:paraId="04E89391" w14:textId="509426FF" w:rsidR="00EB4CC3" w:rsidRDefault="00EB4CC3" w:rsidP="00EB4CC3">
            <w:r>
              <w:t xml:space="preserve">აკრძალული </w:t>
            </w:r>
            <w:r w:rsidR="00C80102">
              <w:t>(</w:t>
            </w:r>
            <w:r>
              <w:t>კვლევების შემდგომ)</w:t>
            </w:r>
          </w:p>
        </w:tc>
        <w:tc>
          <w:tcPr>
            <w:tcW w:w="1701" w:type="dxa"/>
          </w:tcPr>
          <w:p w14:paraId="6971C21E" w14:textId="4561C2CC" w:rsidR="00EB4CC3" w:rsidRPr="00ED13E8" w:rsidRDefault="00613DC9" w:rsidP="00EB4C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26AAA">
              <w:rPr>
                <w:lang w:val="en-US"/>
              </w:rPr>
              <w:t xml:space="preserve"> </w:t>
            </w:r>
          </w:p>
        </w:tc>
      </w:tr>
    </w:tbl>
    <w:p w14:paraId="175BA3B2" w14:textId="7322A402" w:rsidR="00713317" w:rsidRDefault="00713317"/>
    <w:p w14:paraId="1626430E" w14:textId="30298DC2" w:rsidR="002C7A16" w:rsidRDefault="002C7A16">
      <w:r>
        <w:t>დაწინაურებული ვაქცინები</w:t>
      </w:r>
    </w:p>
    <w:tbl>
      <w:tblPr>
        <w:tblStyle w:val="TableGrid"/>
        <w:tblW w:w="10330" w:type="dxa"/>
        <w:tblInd w:w="-5" w:type="dxa"/>
        <w:tblLook w:val="04A0" w:firstRow="1" w:lastRow="0" w:firstColumn="1" w:lastColumn="0" w:noHBand="0" w:noVBand="1"/>
      </w:tblPr>
      <w:tblGrid>
        <w:gridCol w:w="2088"/>
        <w:gridCol w:w="2027"/>
        <w:gridCol w:w="707"/>
        <w:gridCol w:w="1982"/>
        <w:gridCol w:w="3526"/>
      </w:tblGrid>
      <w:tr w:rsidR="007B7FFE" w:rsidRPr="007A0FD7" w14:paraId="5D6D784E" w14:textId="77777777" w:rsidTr="000B79EA">
        <w:tc>
          <w:tcPr>
            <w:tcW w:w="2088" w:type="dxa"/>
          </w:tcPr>
          <w:p w14:paraId="0DE49886" w14:textId="7603C7A3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027" w:type="dxa"/>
          </w:tcPr>
          <w:p w14:paraId="15BBF8BE" w14:textId="22697B5C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მოქმედება</w:t>
            </w:r>
          </w:p>
        </w:tc>
        <w:tc>
          <w:tcPr>
            <w:tcW w:w="707" w:type="dxa"/>
          </w:tcPr>
          <w:p w14:paraId="67423D01" w14:textId="16E40CCF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ფაზა</w:t>
            </w:r>
          </w:p>
        </w:tc>
        <w:tc>
          <w:tcPr>
            <w:tcW w:w="1982" w:type="dxa"/>
          </w:tcPr>
          <w:p w14:paraId="6CCA94C2" w14:textId="40E289BC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კვლევაში ჩართულთა N</w:t>
            </w:r>
          </w:p>
        </w:tc>
        <w:tc>
          <w:tcPr>
            <w:tcW w:w="3526" w:type="dxa"/>
          </w:tcPr>
          <w:p w14:paraId="732B411A" w14:textId="76E29066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სტატუსი</w:t>
            </w:r>
          </w:p>
        </w:tc>
      </w:tr>
      <w:tr w:rsidR="007B7FFE" w:rsidRPr="007A0FD7" w14:paraId="3A0496F7" w14:textId="77777777" w:rsidTr="000B79EA">
        <w:tc>
          <w:tcPr>
            <w:tcW w:w="2088" w:type="dxa"/>
          </w:tcPr>
          <w:p w14:paraId="4BAD3DE6" w14:textId="198A64D5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410CACBB" wp14:editId="204FF104">
                  <wp:extent cx="144780" cy="108585"/>
                  <wp:effectExtent l="0" t="0" r="7620" b="5715"/>
                  <wp:docPr id="12" name="Picture 12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E4B52DC" wp14:editId="4C276CCC">
                  <wp:extent cx="144780" cy="108585"/>
                  <wp:effectExtent l="0" t="0" r="7620" b="5715"/>
                  <wp:docPr id="11" name="Picture 11" descr="Germ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</w:rPr>
              <w:t xml:space="preserve"> </w:t>
            </w:r>
            <w:r w:rsidRPr="007A0FD7">
              <w:rPr>
                <w:sz w:val="20"/>
                <w:szCs w:val="20"/>
                <w:lang w:val="en-US"/>
              </w:rPr>
              <w:t>Pfizer-BioNTech</w:t>
            </w:r>
          </w:p>
        </w:tc>
        <w:tc>
          <w:tcPr>
            <w:tcW w:w="2027" w:type="dxa"/>
          </w:tcPr>
          <w:p w14:paraId="502C7A2B" w14:textId="7A0D09E0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mRNA</w:t>
            </w:r>
          </w:p>
        </w:tc>
        <w:tc>
          <w:tcPr>
            <w:tcW w:w="707" w:type="dxa"/>
          </w:tcPr>
          <w:p w14:paraId="5557A6C0" w14:textId="2C2051CE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1982" w:type="dxa"/>
          </w:tcPr>
          <w:p w14:paraId="1DCCAA34" w14:textId="2376C814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44 000</w:t>
            </w:r>
          </w:p>
        </w:tc>
        <w:tc>
          <w:tcPr>
            <w:tcW w:w="3526" w:type="dxa"/>
          </w:tcPr>
          <w:p w14:paraId="0860A914" w14:textId="32B9D27C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აღიარებულია</w:t>
            </w:r>
            <w:r w:rsidRPr="007A0FD7">
              <w:rPr>
                <w:sz w:val="20"/>
                <w:szCs w:val="20"/>
              </w:rPr>
              <w:t xml:space="preserve"> კანადაში</w:t>
            </w:r>
            <w:r w:rsidRPr="007A0FD7">
              <w:rPr>
                <w:sz w:val="20"/>
                <w:szCs w:val="20"/>
                <w:lang w:val="en-US"/>
              </w:rPr>
              <w:t xml:space="preserve">, </w:t>
            </w:r>
            <w:r w:rsidRPr="007A0FD7">
              <w:rPr>
                <w:sz w:val="20"/>
                <w:szCs w:val="20"/>
              </w:rPr>
              <w:t>საუდის არაბეთში</w:t>
            </w:r>
            <w:r w:rsidRPr="007A0FD7">
              <w:rPr>
                <w:sz w:val="20"/>
                <w:szCs w:val="20"/>
                <w:lang w:val="en-US"/>
              </w:rPr>
              <w:t xml:space="preserve">, </w:t>
            </w:r>
            <w:r w:rsidRPr="007A0FD7">
              <w:rPr>
                <w:sz w:val="20"/>
                <w:szCs w:val="20"/>
              </w:rPr>
              <w:t>ბაჰრეინში, შვეიცარიაში და ზოგ სხვა ქვეყანაში;</w:t>
            </w:r>
          </w:p>
          <w:p w14:paraId="1EA4F981" w14:textId="680DA055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გადაუდებელი</w:t>
            </w:r>
            <w:r w:rsidRPr="007A0FD7">
              <w:rPr>
                <w:sz w:val="20"/>
                <w:szCs w:val="20"/>
              </w:rPr>
              <w:t xml:space="preserve"> გამოყენება აშშ, ევროკავშირსა და სხვა ქვეყნებში</w:t>
            </w:r>
          </w:p>
        </w:tc>
      </w:tr>
      <w:tr w:rsidR="007B7FFE" w:rsidRPr="007A0FD7" w14:paraId="604F448C" w14:textId="77777777" w:rsidTr="000B79EA">
        <w:tc>
          <w:tcPr>
            <w:tcW w:w="2088" w:type="dxa"/>
          </w:tcPr>
          <w:p w14:paraId="5D20580C" w14:textId="4D30E460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60D18E3A" wp14:editId="5DC55A59">
                  <wp:extent cx="144780" cy="108585"/>
                  <wp:effectExtent l="0" t="0" r="7620" b="5715"/>
                  <wp:docPr id="13" name="Picture 13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Moderna</w:t>
            </w:r>
          </w:p>
        </w:tc>
        <w:tc>
          <w:tcPr>
            <w:tcW w:w="2027" w:type="dxa"/>
          </w:tcPr>
          <w:p w14:paraId="3CDEA7CA" w14:textId="2FC16B8C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lang w:val="en-US"/>
              </w:rPr>
              <w:t>mRNA</w:t>
            </w:r>
          </w:p>
        </w:tc>
        <w:tc>
          <w:tcPr>
            <w:tcW w:w="707" w:type="dxa"/>
          </w:tcPr>
          <w:p w14:paraId="44D7CBA5" w14:textId="6EEF0E72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52853B89" w14:textId="4C370CB6" w:rsidR="007B7FFE" w:rsidRPr="007A0FD7" w:rsidRDefault="006E2A8B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30 000</w:t>
            </w:r>
          </w:p>
        </w:tc>
        <w:tc>
          <w:tcPr>
            <w:tcW w:w="3526" w:type="dxa"/>
          </w:tcPr>
          <w:p w14:paraId="100CAA53" w14:textId="6598C387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აღიარებულია </w:t>
            </w:r>
            <w:r w:rsidRPr="007A0FD7">
              <w:rPr>
                <w:sz w:val="20"/>
                <w:szCs w:val="20"/>
              </w:rPr>
              <w:t>კანადა</w:t>
            </w:r>
            <w:r w:rsidR="003A2138">
              <w:rPr>
                <w:sz w:val="20"/>
                <w:szCs w:val="20"/>
              </w:rPr>
              <w:t>სა და შვეიცარიაში</w:t>
            </w:r>
            <w:r w:rsidRPr="007A0FD7">
              <w:rPr>
                <w:sz w:val="20"/>
                <w:szCs w:val="20"/>
              </w:rPr>
              <w:t>;</w:t>
            </w:r>
          </w:p>
          <w:p w14:paraId="25AC5BEC" w14:textId="0138AEE2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 xml:space="preserve">გამოყენება აშშ, </w:t>
            </w:r>
            <w:r w:rsidR="00ED13E8" w:rsidRPr="007A0FD7">
              <w:rPr>
                <w:sz w:val="20"/>
                <w:szCs w:val="20"/>
              </w:rPr>
              <w:t xml:space="preserve">გაერთიანებული სამეფო, </w:t>
            </w:r>
            <w:r w:rsidRPr="007A0FD7">
              <w:rPr>
                <w:sz w:val="20"/>
                <w:szCs w:val="20"/>
              </w:rPr>
              <w:t>ევროკავშირი, ისრაელსა და სხვა ქვეყნებში</w:t>
            </w:r>
          </w:p>
        </w:tc>
      </w:tr>
      <w:tr w:rsidR="007B7FFE" w:rsidRPr="007A0FD7" w14:paraId="66B5309E" w14:textId="77777777" w:rsidTr="000B79EA">
        <w:tc>
          <w:tcPr>
            <w:tcW w:w="2088" w:type="dxa"/>
          </w:tcPr>
          <w:p w14:paraId="5C05AA91" w14:textId="17859567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7F1D5171" wp14:editId="7E7F1577">
                  <wp:extent cx="144780" cy="108585"/>
                  <wp:effectExtent l="0" t="0" r="7620" b="5715"/>
                  <wp:docPr id="20" name="Picture 20" descr="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Gamaleya</w:t>
            </w:r>
          </w:p>
        </w:tc>
        <w:tc>
          <w:tcPr>
            <w:tcW w:w="2027" w:type="dxa"/>
          </w:tcPr>
          <w:p w14:paraId="606D523E" w14:textId="5508D341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Ad26, Ad5</w:t>
            </w:r>
          </w:p>
        </w:tc>
        <w:tc>
          <w:tcPr>
            <w:tcW w:w="707" w:type="dxa"/>
          </w:tcPr>
          <w:p w14:paraId="5CF8FEFF" w14:textId="640A179C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1595B0B4" w14:textId="3961602C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40 000</w:t>
            </w:r>
          </w:p>
        </w:tc>
        <w:tc>
          <w:tcPr>
            <w:tcW w:w="3526" w:type="dxa"/>
          </w:tcPr>
          <w:p w14:paraId="23F34B13" w14:textId="5C49C84A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ადრეული</w:t>
            </w:r>
            <w:r w:rsidRPr="007A0FD7">
              <w:rPr>
                <w:sz w:val="20"/>
                <w:szCs w:val="20"/>
              </w:rPr>
              <w:t xml:space="preserve"> გამოყენება რუსეთში;</w:t>
            </w:r>
          </w:p>
          <w:p w14:paraId="575B5ABF" w14:textId="3C1CC2E1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>გამოყენება ბელარუსსა და ზოგ სხვა ქვეყანაში</w:t>
            </w:r>
          </w:p>
        </w:tc>
      </w:tr>
      <w:tr w:rsidR="007B7FFE" w:rsidRPr="007A0FD7" w14:paraId="770262F6" w14:textId="77777777" w:rsidTr="000B79EA">
        <w:tc>
          <w:tcPr>
            <w:tcW w:w="2088" w:type="dxa"/>
          </w:tcPr>
          <w:p w14:paraId="5017186E" w14:textId="053C364F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8A4CD9E" wp14:editId="4E47A158">
                  <wp:extent cx="144780" cy="108585"/>
                  <wp:effectExtent l="0" t="0" r="7620" b="5715"/>
                  <wp:docPr id="22" name="Picture 22" descr="U.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U.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0570E352" wp14:editId="61254917">
                  <wp:extent cx="144780" cy="108585"/>
                  <wp:effectExtent l="0" t="0" r="7620" b="5715"/>
                  <wp:docPr id="21" name="Picture 21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Oxford-AstraZeneca</w:t>
            </w:r>
          </w:p>
        </w:tc>
        <w:tc>
          <w:tcPr>
            <w:tcW w:w="2027" w:type="dxa"/>
          </w:tcPr>
          <w:p w14:paraId="2111178B" w14:textId="6CD85327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ChAdOx1</w:t>
            </w:r>
          </w:p>
        </w:tc>
        <w:tc>
          <w:tcPr>
            <w:tcW w:w="707" w:type="dxa"/>
          </w:tcPr>
          <w:p w14:paraId="27C0F255" w14:textId="2715DFB3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1982" w:type="dxa"/>
          </w:tcPr>
          <w:p w14:paraId="21156824" w14:textId="7559249B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65 000</w:t>
            </w:r>
          </w:p>
        </w:tc>
        <w:tc>
          <w:tcPr>
            <w:tcW w:w="3526" w:type="dxa"/>
          </w:tcPr>
          <w:p w14:paraId="301D819E" w14:textId="57611F32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 xml:space="preserve">გამოყენება ბრიტანეთში, </w:t>
            </w:r>
            <w:r w:rsidR="002D5E9D">
              <w:rPr>
                <w:sz w:val="20"/>
                <w:szCs w:val="20"/>
              </w:rPr>
              <w:t xml:space="preserve">ევროკავშირში, </w:t>
            </w:r>
            <w:r w:rsidRPr="007A0FD7">
              <w:rPr>
                <w:sz w:val="20"/>
                <w:szCs w:val="20"/>
              </w:rPr>
              <w:t>ინდოეთში და ზოგ სხვა ქვეყანაში</w:t>
            </w:r>
          </w:p>
        </w:tc>
      </w:tr>
      <w:tr w:rsidR="007B7FFE" w:rsidRPr="007A0FD7" w14:paraId="1F276C46" w14:textId="77777777" w:rsidTr="000B79EA">
        <w:tc>
          <w:tcPr>
            <w:tcW w:w="2088" w:type="dxa"/>
          </w:tcPr>
          <w:p w14:paraId="319B6C08" w14:textId="43804210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06F7D4E3" wp14:editId="76AAA977">
                  <wp:extent cx="144780" cy="108585"/>
                  <wp:effectExtent l="0" t="0" r="7620" b="5715"/>
                  <wp:docPr id="18" name="Picture 18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CanSino Biologics</w:t>
            </w:r>
          </w:p>
        </w:tc>
        <w:tc>
          <w:tcPr>
            <w:tcW w:w="2027" w:type="dxa"/>
          </w:tcPr>
          <w:p w14:paraId="328C41B4" w14:textId="48A9AFB5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lang w:val="en-US"/>
              </w:rPr>
              <w:t>Ad5</w:t>
            </w:r>
          </w:p>
        </w:tc>
        <w:tc>
          <w:tcPr>
            <w:tcW w:w="707" w:type="dxa"/>
          </w:tcPr>
          <w:p w14:paraId="49C16537" w14:textId="0D339CEA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0495A2D1" w14:textId="157F988D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40 000</w:t>
            </w:r>
          </w:p>
        </w:tc>
        <w:tc>
          <w:tcPr>
            <w:tcW w:w="3526" w:type="dxa"/>
          </w:tcPr>
          <w:p w14:paraId="1B54CC1E" w14:textId="4D490019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შეზღუდული გამოყენება ჩინეთში</w:t>
            </w:r>
          </w:p>
        </w:tc>
      </w:tr>
      <w:tr w:rsidR="007B7FFE" w:rsidRPr="007A0FD7" w14:paraId="0EF04B8E" w14:textId="77777777" w:rsidTr="000B79EA">
        <w:tc>
          <w:tcPr>
            <w:tcW w:w="2088" w:type="dxa"/>
          </w:tcPr>
          <w:p w14:paraId="467176F2" w14:textId="6264D637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9A3E391" wp14:editId="75886702">
                  <wp:extent cx="144780" cy="108585"/>
                  <wp:effectExtent l="0" t="0" r="7620" b="5715"/>
                  <wp:docPr id="24" name="Picture 24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3F5DE0F5" wp14:editId="6D6D2EE9">
                  <wp:extent cx="144780" cy="108585"/>
                  <wp:effectExtent l="0" t="0" r="7620" b="5715"/>
                  <wp:docPr id="23" name="Picture 23" descr="Belg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lg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Johnson &amp; Johnson</w:t>
            </w:r>
          </w:p>
        </w:tc>
        <w:tc>
          <w:tcPr>
            <w:tcW w:w="2027" w:type="dxa"/>
          </w:tcPr>
          <w:p w14:paraId="09ED00A1" w14:textId="4D29E617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lang w:val="en-US"/>
              </w:rPr>
              <w:t>Ad26</w:t>
            </w:r>
          </w:p>
        </w:tc>
        <w:tc>
          <w:tcPr>
            <w:tcW w:w="707" w:type="dxa"/>
          </w:tcPr>
          <w:p w14:paraId="643DC461" w14:textId="1017758B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719273BC" w14:textId="24636FFC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70 000</w:t>
            </w:r>
          </w:p>
        </w:tc>
        <w:tc>
          <w:tcPr>
            <w:tcW w:w="3526" w:type="dxa"/>
          </w:tcPr>
          <w:p w14:paraId="30A3974E" w14:textId="7B93D655" w:rsidR="007B7FFE" w:rsidRPr="007A0FD7" w:rsidRDefault="007B7FFE">
            <w:pPr>
              <w:rPr>
                <w:sz w:val="20"/>
                <w:szCs w:val="20"/>
              </w:rPr>
            </w:pPr>
          </w:p>
        </w:tc>
      </w:tr>
      <w:tr w:rsidR="007B7FFE" w:rsidRPr="007A0FD7" w14:paraId="352F49AA" w14:textId="77777777" w:rsidTr="000B79EA">
        <w:tc>
          <w:tcPr>
            <w:tcW w:w="2088" w:type="dxa"/>
          </w:tcPr>
          <w:p w14:paraId="338F2D40" w14:textId="17115F1E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77F56EDD" wp14:editId="56F9E991">
                  <wp:extent cx="144780" cy="108585"/>
                  <wp:effectExtent l="0" t="0" r="7620" b="5715"/>
                  <wp:docPr id="25" name="Picture 25" descr="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Vector Institute</w:t>
            </w:r>
          </w:p>
        </w:tc>
        <w:tc>
          <w:tcPr>
            <w:tcW w:w="2027" w:type="dxa"/>
          </w:tcPr>
          <w:p w14:paraId="16C7BF9A" w14:textId="3B6EE3A2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პროტეინი</w:t>
            </w:r>
          </w:p>
        </w:tc>
        <w:tc>
          <w:tcPr>
            <w:tcW w:w="707" w:type="dxa"/>
          </w:tcPr>
          <w:p w14:paraId="080E3823" w14:textId="6F051DFD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2D6F0806" w14:textId="77777777" w:rsidR="007B7FFE" w:rsidRPr="007A0FD7" w:rsidRDefault="007B7FF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248C4B3E" w14:textId="1A6EF30D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ადრეული გამოყენება რუსეთში</w:t>
            </w:r>
          </w:p>
        </w:tc>
      </w:tr>
      <w:tr w:rsidR="007B7FFE" w:rsidRPr="007A0FD7" w14:paraId="68F26CF9" w14:textId="77777777" w:rsidTr="000B79EA">
        <w:tc>
          <w:tcPr>
            <w:tcW w:w="2088" w:type="dxa"/>
          </w:tcPr>
          <w:p w14:paraId="7229C4D0" w14:textId="1594A46E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8F63E0B" wp14:editId="1BA13591">
                  <wp:extent cx="144780" cy="108585"/>
                  <wp:effectExtent l="0" t="0" r="7620" b="5715"/>
                  <wp:docPr id="14" name="Picture 14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Novavax</w:t>
            </w:r>
          </w:p>
        </w:tc>
        <w:tc>
          <w:tcPr>
            <w:tcW w:w="2027" w:type="dxa"/>
          </w:tcPr>
          <w:p w14:paraId="47705965" w14:textId="46589403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პროტეინი</w:t>
            </w:r>
          </w:p>
        </w:tc>
        <w:tc>
          <w:tcPr>
            <w:tcW w:w="707" w:type="dxa"/>
          </w:tcPr>
          <w:p w14:paraId="3C225F05" w14:textId="325C55DB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159085C7" w14:textId="3445C043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45 000</w:t>
            </w:r>
          </w:p>
        </w:tc>
        <w:tc>
          <w:tcPr>
            <w:tcW w:w="3526" w:type="dxa"/>
          </w:tcPr>
          <w:p w14:paraId="0DA408CE" w14:textId="1793A0E7" w:rsidR="007B7FFE" w:rsidRPr="007A0FD7" w:rsidRDefault="007B7FFE">
            <w:pPr>
              <w:rPr>
                <w:sz w:val="20"/>
                <w:szCs w:val="20"/>
              </w:rPr>
            </w:pPr>
          </w:p>
        </w:tc>
      </w:tr>
      <w:tr w:rsidR="007B7FFE" w:rsidRPr="007A0FD7" w14:paraId="32EF6BB9" w14:textId="77777777" w:rsidTr="000B79EA">
        <w:tc>
          <w:tcPr>
            <w:tcW w:w="2088" w:type="dxa"/>
          </w:tcPr>
          <w:p w14:paraId="374B77C1" w14:textId="1821EF34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5EF22C89" wp14:editId="1F5F6643">
                  <wp:extent cx="144780" cy="108585"/>
                  <wp:effectExtent l="0" t="0" r="7620" b="5715"/>
                  <wp:docPr id="15" name="Picture 15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Sinopharm</w:t>
            </w:r>
          </w:p>
        </w:tc>
        <w:tc>
          <w:tcPr>
            <w:tcW w:w="2027" w:type="dxa"/>
          </w:tcPr>
          <w:p w14:paraId="653E0525" w14:textId="7B7798D0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17585B13" w14:textId="1B5673D3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2620A870" w14:textId="7A1B1FE2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50 000</w:t>
            </w:r>
          </w:p>
        </w:tc>
        <w:tc>
          <w:tcPr>
            <w:tcW w:w="3526" w:type="dxa"/>
          </w:tcPr>
          <w:p w14:paraId="42DA3673" w14:textId="6468DE2F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აღიარებულია </w:t>
            </w:r>
            <w:r w:rsidRPr="007A0FD7">
              <w:rPr>
                <w:sz w:val="20"/>
                <w:szCs w:val="20"/>
              </w:rPr>
              <w:t>ჩინეთში, გაერთანებულ არაბთა ემირატებში, ბაჰრეინში;</w:t>
            </w:r>
          </w:p>
          <w:p w14:paraId="33AA9A55" w14:textId="6D71F713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>გამოყენება</w:t>
            </w:r>
            <w:r w:rsidR="002D5E9D">
              <w:rPr>
                <w:sz w:val="20"/>
                <w:szCs w:val="20"/>
              </w:rPr>
              <w:t xml:space="preserve"> უნგრეთში,</w:t>
            </w:r>
            <w:r w:rsidRPr="007A0FD7">
              <w:rPr>
                <w:sz w:val="20"/>
                <w:szCs w:val="20"/>
              </w:rPr>
              <w:t xml:space="preserve"> ეგვიპტეს</w:t>
            </w:r>
            <w:r w:rsidR="002D5E9D">
              <w:rPr>
                <w:sz w:val="20"/>
                <w:szCs w:val="20"/>
              </w:rPr>
              <w:t xml:space="preserve">ა </w:t>
            </w:r>
            <w:r w:rsidRPr="007A0FD7">
              <w:rPr>
                <w:sz w:val="20"/>
                <w:szCs w:val="20"/>
              </w:rPr>
              <w:t>და იორდანიაში</w:t>
            </w:r>
          </w:p>
        </w:tc>
      </w:tr>
      <w:tr w:rsidR="007B7FFE" w:rsidRPr="007A0FD7" w14:paraId="1FFD828F" w14:textId="77777777" w:rsidTr="000B79EA">
        <w:tc>
          <w:tcPr>
            <w:tcW w:w="2088" w:type="dxa"/>
          </w:tcPr>
          <w:p w14:paraId="26045E91" w14:textId="210B8AF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4BCA50A2" wp14:editId="1801AA37">
                  <wp:extent cx="144780" cy="108585"/>
                  <wp:effectExtent l="0" t="0" r="7620" b="5715"/>
                  <wp:docPr id="16" name="Picture 16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Sinovac</w:t>
            </w:r>
            <w:r w:rsidRPr="007A0FD7">
              <w:rPr>
                <w:sz w:val="20"/>
                <w:szCs w:val="20"/>
              </w:rPr>
              <w:t xml:space="preserve"> </w:t>
            </w:r>
            <w:r w:rsidRPr="007A0FD7">
              <w:rPr>
                <w:sz w:val="20"/>
                <w:szCs w:val="20"/>
                <w:lang w:val="en-US"/>
              </w:rPr>
              <w:t>Biotech</w:t>
            </w:r>
          </w:p>
        </w:tc>
        <w:tc>
          <w:tcPr>
            <w:tcW w:w="2027" w:type="dxa"/>
          </w:tcPr>
          <w:p w14:paraId="10ACA9A9" w14:textId="46047485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4AF568B9" w14:textId="5EA6212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3AE55986" w14:textId="2BCB52C6" w:rsidR="007B7FFE" w:rsidRPr="007A0FD7" w:rsidRDefault="006E2A8B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26 000</w:t>
            </w:r>
          </w:p>
        </w:tc>
        <w:tc>
          <w:tcPr>
            <w:tcW w:w="3526" w:type="dxa"/>
          </w:tcPr>
          <w:p w14:paraId="43BF611E" w14:textId="3BD8243E" w:rsidR="007B7FFE" w:rsidRPr="007A0FD7" w:rsidRDefault="00731C15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აღიარებულია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="007B7FFE" w:rsidRPr="007A0FD7">
              <w:rPr>
                <w:sz w:val="20"/>
                <w:szCs w:val="20"/>
              </w:rPr>
              <w:t xml:space="preserve">ჩინეთში, </w:t>
            </w:r>
            <w:r w:rsidR="003A2138" w:rsidRPr="003A2138">
              <w:rPr>
                <w:sz w:val="20"/>
                <w:szCs w:val="20"/>
                <w:u w:val="single"/>
              </w:rPr>
              <w:t>გადაუდებელი გამოყენება</w:t>
            </w:r>
            <w:r w:rsidR="003A2138" w:rsidRPr="007A0FD7">
              <w:rPr>
                <w:sz w:val="20"/>
                <w:szCs w:val="20"/>
              </w:rPr>
              <w:t xml:space="preserve"> </w:t>
            </w:r>
            <w:r w:rsidR="007B7FFE" w:rsidRPr="007A0FD7">
              <w:rPr>
                <w:sz w:val="20"/>
                <w:szCs w:val="20"/>
              </w:rPr>
              <w:t>ბრაზილიაში, ინდონეზიაში და სხვა ქვეყნებში</w:t>
            </w:r>
          </w:p>
        </w:tc>
      </w:tr>
      <w:tr w:rsidR="007B7FFE" w:rsidRPr="007A0FD7" w14:paraId="124978EE" w14:textId="77777777" w:rsidTr="000B79EA">
        <w:tc>
          <w:tcPr>
            <w:tcW w:w="2088" w:type="dxa"/>
          </w:tcPr>
          <w:p w14:paraId="5B866670" w14:textId="5181429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7AB2D6A4" wp14:editId="4D18269A">
                  <wp:extent cx="144780" cy="108585"/>
                  <wp:effectExtent l="0" t="0" r="7620" b="5715"/>
                  <wp:docPr id="17" name="Picture 17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Sinopharm-Wuhan</w:t>
            </w:r>
          </w:p>
        </w:tc>
        <w:tc>
          <w:tcPr>
            <w:tcW w:w="2027" w:type="dxa"/>
          </w:tcPr>
          <w:p w14:paraId="4E14C342" w14:textId="378E317C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0D939C63" w14:textId="26526AD3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4E95551F" w14:textId="77777777" w:rsidR="007B7FFE" w:rsidRPr="007A0FD7" w:rsidRDefault="007B7FFE" w:rsidP="00977C45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72E33A88" w14:textId="0BA83210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შეზღუდული გამოყენება ჩინეთში და გაერთანებულ არაბთა ემირატებში</w:t>
            </w:r>
          </w:p>
        </w:tc>
      </w:tr>
      <w:tr w:rsidR="007B7FFE" w:rsidRPr="007A0FD7" w14:paraId="0DE8C986" w14:textId="77777777" w:rsidTr="000B79EA">
        <w:tc>
          <w:tcPr>
            <w:tcW w:w="2088" w:type="dxa"/>
          </w:tcPr>
          <w:p w14:paraId="27B11050" w14:textId="56504309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55208377" wp14:editId="25953398">
                  <wp:extent cx="144780" cy="108585"/>
                  <wp:effectExtent l="0" t="0" r="7620" b="5715"/>
                  <wp:docPr id="19" name="Picture 19" descr="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530A">
              <w:rPr>
                <w:sz w:val="20"/>
                <w:szCs w:val="20"/>
              </w:rPr>
              <w:t xml:space="preserve"> </w:t>
            </w:r>
            <w:r w:rsidR="0099530A">
              <w:rPr>
                <w:sz w:val="20"/>
                <w:szCs w:val="20"/>
                <w:lang w:val="en-US"/>
              </w:rPr>
              <w:t>Covaxin -</w:t>
            </w:r>
            <w:r w:rsidRPr="007A0FD7">
              <w:rPr>
                <w:sz w:val="20"/>
                <w:szCs w:val="20"/>
                <w:lang w:val="en-US"/>
              </w:rPr>
              <w:t xml:space="preserve"> Bharat Biotech</w:t>
            </w:r>
          </w:p>
        </w:tc>
        <w:tc>
          <w:tcPr>
            <w:tcW w:w="2027" w:type="dxa"/>
          </w:tcPr>
          <w:p w14:paraId="4ECB9C56" w14:textId="071D976E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74396FD2" w14:textId="42D8E716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676075F3" w14:textId="77777777" w:rsidR="007B7FFE" w:rsidRPr="007A0FD7" w:rsidRDefault="007B7FFE" w:rsidP="00977C45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5A83D0A9" w14:textId="51EF60C6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გადაუდებელი გამოყენება ინდოეთში</w:t>
            </w:r>
          </w:p>
        </w:tc>
      </w:tr>
    </w:tbl>
    <w:p w14:paraId="44A3A9F0" w14:textId="0BF0B7A9" w:rsidR="002C7A16" w:rsidRDefault="002C7A16"/>
    <w:p w14:paraId="0356FB70" w14:textId="44186DBB" w:rsidR="00C27DC0" w:rsidRDefault="00713317" w:rsidP="00713317">
      <w:pPr>
        <w:keepNext/>
        <w:rPr>
          <w:u w:val="single"/>
        </w:rPr>
      </w:pPr>
      <w:r w:rsidRPr="0047406A">
        <w:rPr>
          <w:u w:val="single"/>
        </w:rPr>
        <w:t>თებერვლის თაიმლაინი:</w:t>
      </w:r>
    </w:p>
    <w:p w14:paraId="65B8DA9B" w14:textId="08942CED" w:rsidR="00731C15" w:rsidRPr="00731C15" w:rsidRDefault="00731C15" w:rsidP="00713317">
      <w:pPr>
        <w:keepNext/>
      </w:pPr>
      <w:r>
        <w:rPr>
          <w:b/>
          <w:bCs/>
        </w:rPr>
        <w:t>10</w:t>
      </w:r>
      <w:r w:rsidRPr="009114BE">
        <w:rPr>
          <w:b/>
          <w:bCs/>
        </w:rPr>
        <w:t xml:space="preserve"> თებერვალი</w:t>
      </w:r>
      <w:r>
        <w:t xml:space="preserve"> </w:t>
      </w:r>
      <w:r>
        <w:t xml:space="preserve">- იტალიური ვაქცინები </w:t>
      </w:r>
      <w:r w:rsidRPr="00731C15">
        <w:t>Takis</w:t>
      </w:r>
      <w:r>
        <w:t xml:space="preserve"> და</w:t>
      </w:r>
      <w:r w:rsidRPr="00731C15">
        <w:t xml:space="preserve"> Rottapharm</w:t>
      </w:r>
      <w:r>
        <w:t xml:space="preserve"> </w:t>
      </w:r>
      <w:r w:rsidRPr="00731C15">
        <w:t>დაიწყო კვლევის I ფაზა;</w:t>
      </w:r>
    </w:p>
    <w:p w14:paraId="2357C487" w14:textId="5C5937A7" w:rsidR="00731C15" w:rsidRPr="00731C15" w:rsidRDefault="00731C15" w:rsidP="00713317">
      <w:pPr>
        <w:keepNext/>
        <w:rPr>
          <w:b/>
          <w:bCs/>
        </w:rPr>
      </w:pPr>
      <w:r>
        <w:rPr>
          <w:b/>
          <w:bCs/>
        </w:rPr>
        <w:t>8</w:t>
      </w:r>
      <w:r w:rsidRPr="009114BE">
        <w:rPr>
          <w:b/>
          <w:bCs/>
        </w:rPr>
        <w:t xml:space="preserve"> თებერვალი</w:t>
      </w:r>
      <w:r>
        <w:rPr>
          <w:b/>
          <w:bCs/>
        </w:rPr>
        <w:t xml:space="preserve"> </w:t>
      </w:r>
      <w:r w:rsidRPr="00731C15">
        <w:t>- სამხრეთ კორეის SK Bioscience გადავიდა კვლევის ½ ფაზაში;</w:t>
      </w:r>
    </w:p>
    <w:p w14:paraId="78367F97" w14:textId="68947BA1" w:rsidR="00731C15" w:rsidRPr="00731C15" w:rsidRDefault="00731C15" w:rsidP="00713317">
      <w:pPr>
        <w:keepNext/>
        <w:rPr>
          <w:u w:val="single"/>
        </w:rPr>
      </w:pPr>
      <w:r w:rsidRPr="00731C15">
        <w:rPr>
          <w:b/>
          <w:bCs/>
        </w:rPr>
        <w:t>7</w:t>
      </w:r>
      <w:r w:rsidRPr="009114BE">
        <w:rPr>
          <w:b/>
          <w:bCs/>
        </w:rPr>
        <w:t xml:space="preserve"> თებერვალი</w:t>
      </w:r>
      <w:r w:rsidRPr="00731C15">
        <w:rPr>
          <w:b/>
          <w:bCs/>
        </w:rPr>
        <w:t xml:space="preserve"> - </w:t>
      </w:r>
      <w:r w:rsidRPr="00731C15">
        <w:t>ირანის მეორე ვაქცინამ დაიწყო კვლევის I ფაზა;</w:t>
      </w:r>
    </w:p>
    <w:p w14:paraId="728A926F" w14:textId="78351239" w:rsidR="00713317" w:rsidRDefault="00713317" w:rsidP="00713317">
      <w:pPr>
        <w:keepNext/>
      </w:pPr>
      <w:r w:rsidRPr="009114BE">
        <w:rPr>
          <w:b/>
          <w:bCs/>
        </w:rPr>
        <w:t>6 თებერვალი</w:t>
      </w:r>
      <w:r>
        <w:t xml:space="preserve"> - ჩინეთმა მიანიჭა</w:t>
      </w:r>
      <w:r w:rsidRPr="0047406A">
        <w:t xml:space="preserve"> Sinovac</w:t>
      </w:r>
      <w:r w:rsidR="0047406A">
        <w:t>-ს</w:t>
      </w:r>
      <w:r>
        <w:t xml:space="preserve"> პირობითი ავტორიზაცია;</w:t>
      </w:r>
    </w:p>
    <w:p w14:paraId="596BDCD6" w14:textId="4D83B2AF" w:rsidR="00713317" w:rsidRPr="00713317" w:rsidRDefault="00713317" w:rsidP="00713317">
      <w:pPr>
        <w:keepNext/>
      </w:pPr>
      <w:r>
        <w:tab/>
      </w:r>
      <w:r>
        <w:tab/>
        <w:t xml:space="preserve"> ნიუ-იორკის მკვლევარების მიერ შემუშვებული ვაქცინა </w:t>
      </w:r>
      <w:r w:rsidRPr="0047406A">
        <w:t>COVAXX</w:t>
      </w:r>
      <w:r>
        <w:t xml:space="preserve"> გადავიდა კვლევის 2 ფაზაში</w:t>
      </w:r>
    </w:p>
    <w:p w14:paraId="3D8693F8" w14:textId="269C8B28" w:rsidR="00713317" w:rsidRDefault="00713317" w:rsidP="00713317">
      <w:pPr>
        <w:keepNext/>
      </w:pPr>
      <w:r w:rsidRPr="009114BE">
        <w:rPr>
          <w:b/>
          <w:bCs/>
        </w:rPr>
        <w:t>3 თებერვალი</w:t>
      </w:r>
      <w:r>
        <w:t xml:space="preserve"> -</w:t>
      </w:r>
      <w:r w:rsidRPr="0047406A">
        <w:t xml:space="preserve"> Vaxart</w:t>
      </w:r>
      <w:r w:rsidR="0047406A">
        <w:t xml:space="preserve">-ს </w:t>
      </w:r>
      <w:r w:rsidRPr="0047406A">
        <w:t>(</w:t>
      </w:r>
      <w:r>
        <w:t xml:space="preserve">სან ფრანცისკოს მკვლევარების მიერ შემუშავებული ორალური ვაქცინა) </w:t>
      </w:r>
      <w:r w:rsidR="0047406A">
        <w:t xml:space="preserve">  </w:t>
      </w:r>
      <w:r>
        <w:t>ბოლო</w:t>
      </w:r>
      <w:r w:rsidR="0047406A">
        <w:t xml:space="preserve"> </w:t>
      </w:r>
      <w:r>
        <w:t xml:space="preserve">ანგარიშგებით აქვს </w:t>
      </w:r>
      <w:r w:rsidR="009114BE">
        <w:t>ანტისხეულების გამომუშავების კუთხით დაბალი რეაგირება;</w:t>
      </w:r>
    </w:p>
    <w:p w14:paraId="54F4C76A" w14:textId="035AF602" w:rsidR="009114BE" w:rsidRDefault="009114BE" w:rsidP="00713317">
      <w:pPr>
        <w:keepNext/>
      </w:pPr>
      <w:r>
        <w:tab/>
      </w:r>
      <w:r>
        <w:tab/>
        <w:t xml:space="preserve">მექსიკამ რუსულ </w:t>
      </w:r>
      <w:r w:rsidRPr="0047406A">
        <w:t xml:space="preserve">Sputnik V </w:t>
      </w:r>
      <w:r>
        <w:t>მისცა ავტორიზაცია</w:t>
      </w:r>
    </w:p>
    <w:p w14:paraId="539C5882" w14:textId="66DD86E7" w:rsidR="009114BE" w:rsidRDefault="009114BE" w:rsidP="00713317">
      <w:pPr>
        <w:keepNext/>
      </w:pPr>
      <w:r w:rsidRPr="009114BE">
        <w:rPr>
          <w:b/>
          <w:bCs/>
        </w:rPr>
        <w:t>თებერვალი 2</w:t>
      </w:r>
      <w:r>
        <w:t xml:space="preserve"> - </w:t>
      </w:r>
      <w:r w:rsidRPr="00731C15">
        <w:t>Sputnik V</w:t>
      </w:r>
      <w:r>
        <w:t xml:space="preserve"> ეფექტურობამ 91.6% შეადგინა;</w:t>
      </w:r>
    </w:p>
    <w:p w14:paraId="4F174B5E" w14:textId="5A616E9E" w:rsidR="009114BE" w:rsidRPr="009114BE" w:rsidRDefault="009114BE" w:rsidP="00713317">
      <w:pPr>
        <w:keepNext/>
      </w:pPr>
      <w:r>
        <w:tab/>
      </w:r>
      <w:r>
        <w:tab/>
        <w:t xml:space="preserve">კუბური ვაქცინა </w:t>
      </w:r>
      <w:r w:rsidRPr="00731C15">
        <w:t xml:space="preserve">Abdala </w:t>
      </w:r>
      <w:r>
        <w:t>გადავიდა კვლევის 2 ფაზაში</w:t>
      </w:r>
    </w:p>
    <w:p w14:paraId="7F9930D2" w14:textId="77777777" w:rsidR="000B44EE" w:rsidRDefault="000B44EE"/>
    <w:p w14:paraId="6815C4B6" w14:textId="77777777" w:rsidR="000B44EE" w:rsidRDefault="000B44EE" w:rsidP="000B44EE">
      <w:pPr>
        <w:keepNext/>
        <w:jc w:val="center"/>
      </w:pPr>
      <w:r>
        <w:rPr>
          <w:noProof/>
        </w:rPr>
        <w:drawing>
          <wp:inline distT="0" distB="0" distL="0" distR="0" wp14:anchorId="25AB328A" wp14:editId="7A19690B">
            <wp:extent cx="5666867" cy="4057650"/>
            <wp:effectExtent l="0" t="0" r="0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539" cy="406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CB9E" w14:textId="480F9B0F" w:rsidR="000B44EE" w:rsidRDefault="000B44EE" w:rsidP="000B44EE">
      <w:pPr>
        <w:pStyle w:val="Caption"/>
      </w:pPr>
      <w:r>
        <w:t xml:space="preserve">ფიგურა </w:t>
      </w:r>
      <w:r w:rsidR="006203A0">
        <w:fldChar w:fldCharType="begin"/>
      </w:r>
      <w:r w:rsidR="006203A0">
        <w:instrText xml:space="preserve"> SEQ ფიგურა \* ARABIC </w:instrText>
      </w:r>
      <w:r w:rsidR="006203A0">
        <w:fldChar w:fldCharType="separate"/>
      </w:r>
      <w:r>
        <w:rPr>
          <w:noProof/>
        </w:rPr>
        <w:t>2</w:t>
      </w:r>
      <w:r w:rsidR="006203A0">
        <w:rPr>
          <w:noProof/>
        </w:rPr>
        <w:fldChar w:fldCharType="end"/>
      </w:r>
      <w:r w:rsidRPr="004C0BFB">
        <w:t xml:space="preserve"> </w:t>
      </w:r>
      <w:r>
        <w:t>ევროკავშირის ტერიტორიაზე ვაქცინის წარმოება</w:t>
      </w:r>
    </w:p>
    <w:p w14:paraId="282381E5" w14:textId="3FD9FD9D" w:rsidR="000B44EE" w:rsidRDefault="000B44EE"/>
    <w:p w14:paraId="28E35198" w14:textId="1128F2D3" w:rsidR="00DD01DB" w:rsidRPr="004C0BFB" w:rsidRDefault="00DD01DB">
      <w:r>
        <w:lastRenderedPageBreak/>
        <w:t xml:space="preserve">ირანმა სამშაბათს დაიწყო ვაქცინაცია რუსული </w:t>
      </w:r>
      <w:r w:rsidRPr="00DD01DB">
        <w:t>Sputnik V</w:t>
      </w:r>
      <w:r>
        <w:t>-ით</w:t>
      </w:r>
      <w:r>
        <w:rPr>
          <w:rStyle w:val="FootnoteReference"/>
        </w:rPr>
        <w:footnoteReference w:id="5"/>
      </w:r>
      <w:r>
        <w:t xml:space="preserve">. პრეზიდენტის განკარგულებით, პირველ რიგში მოხდება სამედიცინო პერსონალის აცრა. </w:t>
      </w:r>
    </w:p>
    <w:p w14:paraId="5BC433D1" w14:textId="5182F568" w:rsidR="00304472" w:rsidRDefault="00304472" w:rsidP="00304472">
      <w:pPr>
        <w:rPr>
          <w:lang w:val="en-US"/>
        </w:rPr>
      </w:pPr>
    </w:p>
    <w:p w14:paraId="280D6C47" w14:textId="7B390124" w:rsidR="00DD01DB" w:rsidRPr="00DD01DB" w:rsidRDefault="00DD01DB" w:rsidP="00304472">
      <w:r>
        <w:t>აცრების შედეგად ისრაელში 60 წლის და მეტი ასაკის მოსახლეობაში ინციდენტობა შემცირებულია 41%-ით იანვრიდან თებერვლის პერიოდამდე, საიდანაც აღსანიშნავია 31%-იანი ჰოსპიტალიზაციის რაოდენობის ვარდნა</w:t>
      </w:r>
      <w:r w:rsidR="00481839">
        <w:rPr>
          <w:rStyle w:val="FootnoteReference"/>
        </w:rPr>
        <w:footnoteReference w:id="6"/>
      </w:r>
      <w:r>
        <w:t xml:space="preserve">. </w:t>
      </w:r>
    </w:p>
    <w:p w14:paraId="53A08E61" w14:textId="3EE95023" w:rsidR="00DD01DB" w:rsidRDefault="00DD01DB" w:rsidP="00E14841">
      <w:pPr>
        <w:rPr>
          <w:rFonts w:eastAsia="Times New Roman"/>
          <w:color w:val="000000"/>
          <w:sz w:val="24"/>
          <w:szCs w:val="24"/>
        </w:rPr>
      </w:pPr>
    </w:p>
    <w:p w14:paraId="17B42290" w14:textId="72CBC9E5" w:rsidR="00481839" w:rsidRPr="00481839" w:rsidRDefault="00481839" w:rsidP="00E14841">
      <w:r w:rsidRPr="00481839">
        <w:t>ვაქცინაციის საერთაშორისო სერთიფიკატის გამოყენება ზოგიერთი დაავადების მიმართებაში არის უკვე დამკვიდრებული პრაქტიკა (მაგ.: ყვითელი ცხელება)</w:t>
      </w:r>
      <w:r>
        <w:rPr>
          <w:rStyle w:val="FootnoteReference"/>
        </w:rPr>
        <w:footnoteReference w:id="7"/>
      </w:r>
      <w:r w:rsidRPr="00481839">
        <w:t>.</w:t>
      </w:r>
      <w:r>
        <w:t xml:space="preserve"> გარკვეულმა ქვეყნებმა დაიწყეს მსგავსი შესაძლებლობის განხილვა </w:t>
      </w:r>
      <w:r w:rsidRPr="00481839">
        <w:t>COVID-</w:t>
      </w:r>
      <w:r>
        <w:t xml:space="preserve">თან მიმართებაში. ევროკავშირი განიხილავს უნივერსალურ სისტემას წევრი ქვეყნებისთვის. ასევე, ისლანდიამ უკვე შექმნა მსგავსი სერტიფიკატი იანვარში, პოლონეთი იყენებს </w:t>
      </w:r>
      <w:r w:rsidRPr="00481839">
        <w:t>QR</w:t>
      </w:r>
      <w:r>
        <w:t xml:space="preserve"> კოდს ვაქცინაციის სტატუსის დასადასტურებლად. დანია და შვედეთი ივნისიდან შემოიღებენ ამეთ სერტიფიკატს, ხოლო გაერთიანებული სამეფო ამუშავებს ე.წ. ვაქცინაციის პასპორტს. ამ მიმართულებით მუშაობენ ესპანეთი, კიპრი და ესტონეთი (ამ საკითხზე მუშაობს ჯანმო-სთან ერთად), ხოლო პოლონეთმა იანვარში შეადგინა კოვიდ-პასპორტის მოთხოვნა</w:t>
      </w:r>
      <w:r>
        <w:rPr>
          <w:rStyle w:val="FootnoteReference"/>
        </w:rPr>
        <w:footnoteReference w:id="8"/>
      </w:r>
      <w:r>
        <w:t xml:space="preserve">. </w:t>
      </w:r>
    </w:p>
    <w:p w14:paraId="2E08736F" w14:textId="3D72302B" w:rsidR="00E14841" w:rsidRDefault="00E14841" w:rsidP="00304472"/>
    <w:p w14:paraId="60AEA521" w14:textId="28332B3B" w:rsidR="00481839" w:rsidRPr="00481839" w:rsidRDefault="00481839" w:rsidP="00304472">
      <w:r>
        <w:t xml:space="preserve">ჯანმო, განსხვავებით არსებული მოსაზრებებისა, რეკომენდაციას უწევს </w:t>
      </w:r>
      <w:r w:rsidRPr="00CF12BD">
        <w:t>AstraZeneca-</w:t>
      </w:r>
      <w:r>
        <w:t>ს ვაქცინის ყველა ასაკობრივ ჯგუფში გამოყენებას, 18 წლის ზევით</w:t>
      </w:r>
      <w:r>
        <w:rPr>
          <w:rStyle w:val="FootnoteReference"/>
        </w:rPr>
        <w:footnoteReference w:id="9"/>
      </w:r>
      <w:r>
        <w:t xml:space="preserve">. </w:t>
      </w:r>
      <w:r w:rsidR="00CF12BD" w:rsidRPr="00CF12BD">
        <w:t xml:space="preserve">Strategic Advisory Group of Experts (Sage) </w:t>
      </w:r>
      <w:r w:rsidR="00CF12BD">
        <w:t>რეკომენდაციაში ასევე მითითებულია, რომ სასურველია დოზებს შორის შუალედი გაიზარდოს 8-12 კვირამდე, ეფექტურობის გასაუმჯობესებლად</w:t>
      </w:r>
      <w:r w:rsidR="00CF12BD">
        <w:rPr>
          <w:rStyle w:val="FootnoteReference"/>
        </w:rPr>
        <w:footnoteReference w:id="10"/>
      </w:r>
      <w:r w:rsidR="00CF12BD">
        <w:t xml:space="preserve">. </w:t>
      </w:r>
    </w:p>
    <w:p w14:paraId="07FDF202" w14:textId="4C1F3F67" w:rsidR="007E21BC" w:rsidRPr="00CF12BD" w:rsidRDefault="007E21BC" w:rsidP="007E21BC"/>
    <w:p w14:paraId="7DA7B8D7" w14:textId="19E463AD" w:rsidR="004936FE" w:rsidRPr="004936FE" w:rsidRDefault="00CF12BD" w:rsidP="004936FE">
      <w:r w:rsidRPr="00CF12BD">
        <w:t>AstraZeneca</w:t>
      </w:r>
      <w:r>
        <w:t xml:space="preserve"> გერმანიაში აშენებს ახალ მწარმოებელ ქარხანას</w:t>
      </w:r>
      <w:r>
        <w:rPr>
          <w:rStyle w:val="FootnoteReference"/>
        </w:rPr>
        <w:footnoteReference w:id="11"/>
      </w:r>
      <w:r>
        <w:t xml:space="preserve">. მშენებლობის პერიოდიდან, პარტნიორი იქნება </w:t>
      </w:r>
      <w:r w:rsidRPr="00CF12BD">
        <w:t>IDT Biologika</w:t>
      </w:r>
      <w:r>
        <w:t>, რათა გა</w:t>
      </w:r>
      <w:r w:rsidR="00BE7DEF">
        <w:t>იზარდოს</w:t>
      </w:r>
      <w:r>
        <w:t xml:space="preserve"> ევროკავშირზე მიწოდების სიჩქარე.</w:t>
      </w:r>
    </w:p>
    <w:p w14:paraId="73F31D4E" w14:textId="4E71A45F" w:rsidR="004936FE" w:rsidRDefault="004936FE" w:rsidP="004936FE"/>
    <w:p w14:paraId="78BBABC5" w14:textId="4EF3BCCB" w:rsidR="004936FE" w:rsidRPr="004936FE" w:rsidRDefault="004936FE" w:rsidP="004936FE"/>
    <w:sectPr w:rsidR="004936FE" w:rsidRPr="004936FE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A7DC0" w14:textId="77777777" w:rsidR="00E40B0B" w:rsidRDefault="00E40B0B" w:rsidP="00EB4CC3">
      <w:pPr>
        <w:spacing w:after="0" w:line="240" w:lineRule="auto"/>
      </w:pPr>
      <w:r>
        <w:separator/>
      </w:r>
    </w:p>
  </w:endnote>
  <w:endnote w:type="continuationSeparator" w:id="0">
    <w:p w14:paraId="614D503C" w14:textId="77777777" w:rsidR="00E40B0B" w:rsidRDefault="00E40B0B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E4ECB" w14:textId="77777777" w:rsidR="00E40B0B" w:rsidRDefault="00E40B0B" w:rsidP="00EB4CC3">
      <w:pPr>
        <w:spacing w:after="0" w:line="240" w:lineRule="auto"/>
      </w:pPr>
      <w:r>
        <w:separator/>
      </w:r>
    </w:p>
  </w:footnote>
  <w:footnote w:type="continuationSeparator" w:id="0">
    <w:p w14:paraId="75D3C18E" w14:textId="77777777" w:rsidR="00E40B0B" w:rsidRDefault="00E40B0B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6203A0" w:rsidRDefault="006203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65A21">
          <w:rPr>
            <w:rStyle w:val="Hyperlink"/>
            <w:sz w:val="18"/>
            <w:szCs w:val="18"/>
          </w:rPr>
          <w:t>https://www.bloomberg.com/graphics/covid-</w:t>
        </w:r>
        <w:r w:rsidRPr="00365A21">
          <w:rPr>
            <w:rStyle w:val="Hyperlink"/>
            <w:sz w:val="18"/>
            <w:szCs w:val="18"/>
          </w:rPr>
          <w:t>v</w:t>
        </w:r>
        <w:r w:rsidRPr="00365A21">
          <w:rPr>
            <w:rStyle w:val="Hyperlink"/>
            <w:sz w:val="18"/>
            <w:szCs w:val="18"/>
          </w:rPr>
          <w:t>accine-tracker-global-distribution/</w:t>
        </w:r>
      </w:hyperlink>
      <w:r>
        <w:rPr>
          <w:sz w:val="18"/>
          <w:szCs w:val="18"/>
        </w:rPr>
        <w:t xml:space="preserve"> </w:t>
      </w:r>
    </w:p>
  </w:footnote>
  <w:footnote w:id="2">
    <w:p w14:paraId="1F7994ED" w14:textId="2E15F7D7" w:rsidR="006203A0" w:rsidRPr="006203A0" w:rsidRDefault="006203A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F231F">
          <w:rPr>
            <w:rStyle w:val="Hyperlink"/>
          </w:rPr>
          <w:t>https://eurasianet.org/azerbaijan-starts-mass-covid-19-vaccinations</w:t>
        </w:r>
      </w:hyperlink>
      <w:r>
        <w:t xml:space="preserve"> </w:t>
      </w:r>
    </w:p>
  </w:footnote>
  <w:footnote w:id="3">
    <w:p w14:paraId="7151FDA9" w14:textId="20753809" w:rsidR="005C2FBA" w:rsidRPr="005C2FBA" w:rsidRDefault="005C2FB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F231F">
          <w:rPr>
            <w:rStyle w:val="Hyperlink"/>
          </w:rPr>
          <w:t>https://www.euronews.com/2021/02/08/covid-19-ukraine-set-to-launch-coronavirus-vaccination-programme</w:t>
        </w:r>
      </w:hyperlink>
      <w:r>
        <w:t xml:space="preserve"> </w:t>
      </w:r>
    </w:p>
  </w:footnote>
  <w:footnote w:id="4">
    <w:p w14:paraId="2270F53B" w14:textId="15C538B3" w:rsidR="006203A0" w:rsidRPr="00413F70" w:rsidRDefault="006203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286058">
          <w:rPr>
            <w:rStyle w:val="Hyperlink"/>
            <w:sz w:val="18"/>
            <w:szCs w:val="18"/>
          </w:rPr>
          <w:t>https://www.nytimes.com/interactive/2020/scie</w:t>
        </w:r>
        <w:r w:rsidRPr="00286058">
          <w:rPr>
            <w:rStyle w:val="Hyperlink"/>
            <w:sz w:val="18"/>
            <w:szCs w:val="18"/>
          </w:rPr>
          <w:t>n</w:t>
        </w:r>
        <w:r w:rsidRPr="00286058">
          <w:rPr>
            <w:rStyle w:val="Hyperlink"/>
            <w:sz w:val="18"/>
            <w:szCs w:val="18"/>
          </w:rPr>
          <w:t>ce/coronavirus-vaccine-tracker.html</w:t>
        </w:r>
      </w:hyperlink>
      <w:r w:rsidRPr="00286058">
        <w:rPr>
          <w:sz w:val="18"/>
          <w:szCs w:val="18"/>
        </w:rPr>
        <w:t xml:space="preserve"> </w:t>
      </w:r>
    </w:p>
  </w:footnote>
  <w:footnote w:id="5">
    <w:p w14:paraId="2F9AF120" w14:textId="76553BF0" w:rsidR="00DD01DB" w:rsidRPr="00CF12BD" w:rsidRDefault="00DD01DB" w:rsidP="00481839">
      <w:pPr>
        <w:rPr>
          <w:sz w:val="20"/>
          <w:szCs w:val="20"/>
        </w:rPr>
      </w:pPr>
      <w:r w:rsidRPr="00CF12BD">
        <w:rPr>
          <w:rStyle w:val="FootnoteReference"/>
          <w:sz w:val="20"/>
          <w:szCs w:val="20"/>
        </w:rPr>
        <w:footnoteRef/>
      </w:r>
      <w:r w:rsidRPr="00CF12BD">
        <w:rPr>
          <w:sz w:val="20"/>
          <w:szCs w:val="20"/>
        </w:rPr>
        <w:t xml:space="preserve"> </w:t>
      </w:r>
      <w:hyperlink r:id="rId5" w:history="1">
        <w:r w:rsidRPr="00CF12BD">
          <w:rPr>
            <w:rStyle w:val="Hyperlink"/>
            <w:sz w:val="20"/>
            <w:szCs w:val="20"/>
          </w:rPr>
          <w:t>https://www.aljazeer</w:t>
        </w:r>
        <w:r w:rsidRPr="00CF12BD">
          <w:rPr>
            <w:rStyle w:val="Hyperlink"/>
            <w:sz w:val="20"/>
            <w:szCs w:val="20"/>
          </w:rPr>
          <w:t>a</w:t>
        </w:r>
        <w:r w:rsidRPr="00CF12BD">
          <w:rPr>
            <w:rStyle w:val="Hyperlink"/>
            <w:sz w:val="20"/>
            <w:szCs w:val="20"/>
          </w:rPr>
          <w:t>.com/news/2021/2/9/iran-starts-covid-vaccinations-with-sputnik-v</w:t>
        </w:r>
      </w:hyperlink>
      <w:r w:rsidRPr="00CF12BD">
        <w:rPr>
          <w:sz w:val="20"/>
          <w:szCs w:val="20"/>
        </w:rPr>
        <w:t xml:space="preserve"> </w:t>
      </w:r>
    </w:p>
  </w:footnote>
  <w:footnote w:id="6">
    <w:p w14:paraId="54EDCC2C" w14:textId="75B7F372" w:rsidR="00481839" w:rsidRPr="00CF12BD" w:rsidRDefault="00481839">
      <w:pPr>
        <w:pStyle w:val="FootnoteText"/>
      </w:pPr>
      <w:r w:rsidRPr="00CF12BD">
        <w:rPr>
          <w:rStyle w:val="FootnoteReference"/>
        </w:rPr>
        <w:footnoteRef/>
      </w:r>
      <w:r w:rsidRPr="00CF12BD">
        <w:t xml:space="preserve"> </w:t>
      </w:r>
      <w:hyperlink r:id="rId6" w:history="1">
        <w:r w:rsidRPr="00CF12BD">
          <w:rPr>
            <w:rStyle w:val="Hyperlink"/>
          </w:rPr>
          <w:t>https://www.nature.com/articles/d41586-021-00316-4</w:t>
        </w:r>
      </w:hyperlink>
      <w:r w:rsidRPr="00CF12BD">
        <w:t xml:space="preserve"> </w:t>
      </w:r>
    </w:p>
  </w:footnote>
  <w:footnote w:id="7">
    <w:p w14:paraId="1AF25239" w14:textId="3F17F309" w:rsidR="00481839" w:rsidRPr="00CF12BD" w:rsidRDefault="00481839">
      <w:pPr>
        <w:pStyle w:val="FootnoteText"/>
      </w:pPr>
      <w:r w:rsidRPr="00CF12BD">
        <w:rPr>
          <w:rStyle w:val="FootnoteReference"/>
        </w:rPr>
        <w:footnoteRef/>
      </w:r>
      <w:r w:rsidRPr="00CF12BD">
        <w:t xml:space="preserve"> </w:t>
      </w:r>
      <w:hyperlink r:id="rId7" w:history="1">
        <w:r w:rsidRPr="00CF12BD">
          <w:rPr>
            <w:rStyle w:val="Hyperlink"/>
          </w:rPr>
          <w:t>https://www.who.int/ihr/ports_airports/icvp/en/</w:t>
        </w:r>
      </w:hyperlink>
      <w:r w:rsidRPr="00CF12BD">
        <w:t xml:space="preserve"> </w:t>
      </w:r>
    </w:p>
  </w:footnote>
  <w:footnote w:id="8">
    <w:p w14:paraId="6F6E67A2" w14:textId="0EC270D8" w:rsidR="00481839" w:rsidRPr="00CF12BD" w:rsidRDefault="00481839">
      <w:pPr>
        <w:pStyle w:val="FootnoteText"/>
      </w:pPr>
      <w:r w:rsidRPr="00CF12BD">
        <w:rPr>
          <w:rStyle w:val="FootnoteReference"/>
        </w:rPr>
        <w:footnoteRef/>
      </w:r>
      <w:r w:rsidRPr="00CF12BD">
        <w:t xml:space="preserve"> </w:t>
      </w:r>
      <w:hyperlink r:id="rId8" w:history="1">
        <w:r w:rsidRPr="00CF12BD">
          <w:rPr>
            <w:rStyle w:val="Hyperlink"/>
          </w:rPr>
          <w:t>https://www.forbes.com/sites/suzannerowankelleher/2021/02/05/these-european-countries-are-launching-vaccine-passports/?sh=4bfc4e7d77a5</w:t>
        </w:r>
      </w:hyperlink>
      <w:r w:rsidRPr="00CF12BD">
        <w:t xml:space="preserve"> </w:t>
      </w:r>
    </w:p>
  </w:footnote>
  <w:footnote w:id="9">
    <w:p w14:paraId="725A9DF8" w14:textId="6D337E9F" w:rsidR="00481839" w:rsidRPr="00CF12BD" w:rsidRDefault="00481839">
      <w:pPr>
        <w:pStyle w:val="FootnoteText"/>
      </w:pPr>
      <w:r w:rsidRPr="00CF12BD">
        <w:rPr>
          <w:rStyle w:val="FootnoteReference"/>
        </w:rPr>
        <w:footnoteRef/>
      </w:r>
      <w:r w:rsidRPr="00CF12BD">
        <w:t xml:space="preserve"> </w:t>
      </w:r>
      <w:hyperlink r:id="rId9" w:history="1">
        <w:r w:rsidRPr="00CF12BD">
          <w:rPr>
            <w:rStyle w:val="Hyperlink"/>
          </w:rPr>
          <w:t>https://www.bloomberg.com/news/articles/2021-02-10/astrazeneca-vaccine-recommended-for-all-adults-by-who-panel?utm_content=business&amp;cmpid=socialflow-twitter-business&amp;utm_medium=social&amp;utm_campaign=socialflow-organic&amp;utm_source=twitter</w:t>
        </w:r>
      </w:hyperlink>
      <w:r w:rsidRPr="00CF12BD">
        <w:t xml:space="preserve"> </w:t>
      </w:r>
    </w:p>
  </w:footnote>
  <w:footnote w:id="10">
    <w:p w14:paraId="4E0E30BA" w14:textId="141DDC65" w:rsidR="00CF12BD" w:rsidRPr="00CF12BD" w:rsidRDefault="00CF12BD" w:rsidP="00CF12BD">
      <w:pPr>
        <w:rPr>
          <w:color w:val="0563C1" w:themeColor="hyperlink"/>
          <w:sz w:val="20"/>
          <w:szCs w:val="20"/>
          <w:u w:val="single"/>
        </w:rPr>
      </w:pPr>
      <w:r w:rsidRPr="00CF12BD">
        <w:rPr>
          <w:rStyle w:val="FootnoteReference"/>
          <w:sz w:val="20"/>
          <w:szCs w:val="20"/>
        </w:rPr>
        <w:footnoteRef/>
      </w:r>
      <w:r w:rsidRPr="00CF12BD">
        <w:rPr>
          <w:sz w:val="20"/>
          <w:szCs w:val="20"/>
        </w:rPr>
        <w:t xml:space="preserve"> </w:t>
      </w:r>
      <w:hyperlink r:id="rId10" w:history="1">
        <w:r w:rsidRPr="00CF12BD">
          <w:rPr>
            <w:rStyle w:val="Hyperlink"/>
            <w:sz w:val="20"/>
            <w:szCs w:val="20"/>
          </w:rPr>
          <w:t>https://www.theguardian.com/world/2021/feb/10/who-backs-use-of-oxfordastrazeneca-covid-vaccine-for-adults-of-all-ages</w:t>
        </w:r>
      </w:hyperlink>
      <w:r w:rsidRPr="00CF12BD">
        <w:rPr>
          <w:sz w:val="20"/>
          <w:szCs w:val="20"/>
        </w:rPr>
        <w:t xml:space="preserve"> </w:t>
      </w:r>
    </w:p>
  </w:footnote>
  <w:footnote w:id="11">
    <w:p w14:paraId="5357838A" w14:textId="4CEB380C" w:rsidR="00CF12BD" w:rsidRDefault="00CF12BD" w:rsidP="00CF12BD">
      <w:r w:rsidRPr="00CF12BD">
        <w:rPr>
          <w:rStyle w:val="FootnoteReference"/>
          <w:sz w:val="20"/>
          <w:szCs w:val="20"/>
        </w:rPr>
        <w:footnoteRef/>
      </w:r>
      <w:r w:rsidRPr="00CF12BD">
        <w:rPr>
          <w:sz w:val="20"/>
          <w:szCs w:val="20"/>
        </w:rPr>
        <w:t xml:space="preserve"> </w:t>
      </w:r>
      <w:hyperlink r:id="rId11" w:history="1">
        <w:r w:rsidRPr="00CF12BD">
          <w:rPr>
            <w:rStyle w:val="Hyperlink"/>
            <w:sz w:val="20"/>
            <w:szCs w:val="20"/>
          </w:rPr>
          <w:t>https://www.theguardian.com/business/2021/feb/10/astrazeneca-to-build-new-covid-19-vaccine-facility-in-germany</w:t>
        </w:r>
      </w:hyperlink>
      <w:r w:rsidRPr="004936FE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12043"/>
    <w:rsid w:val="00022CC5"/>
    <w:rsid w:val="000439FF"/>
    <w:rsid w:val="0005065A"/>
    <w:rsid w:val="00082C5A"/>
    <w:rsid w:val="0008393F"/>
    <w:rsid w:val="000B44EE"/>
    <w:rsid w:val="000B79EA"/>
    <w:rsid w:val="000D1D2F"/>
    <w:rsid w:val="000D6133"/>
    <w:rsid w:val="00101FD5"/>
    <w:rsid w:val="0010212B"/>
    <w:rsid w:val="00115CAB"/>
    <w:rsid w:val="00117E45"/>
    <w:rsid w:val="00121646"/>
    <w:rsid w:val="001332C4"/>
    <w:rsid w:val="00161CA6"/>
    <w:rsid w:val="0016585B"/>
    <w:rsid w:val="001A685B"/>
    <w:rsid w:val="001A764D"/>
    <w:rsid w:val="001B1453"/>
    <w:rsid w:val="001C0949"/>
    <w:rsid w:val="001C2D10"/>
    <w:rsid w:val="001D671B"/>
    <w:rsid w:val="001E2B71"/>
    <w:rsid w:val="001E46E3"/>
    <w:rsid w:val="001F6436"/>
    <w:rsid w:val="00211A78"/>
    <w:rsid w:val="0021371D"/>
    <w:rsid w:val="00225AE2"/>
    <w:rsid w:val="0024127A"/>
    <w:rsid w:val="00242D3F"/>
    <w:rsid w:val="00253887"/>
    <w:rsid w:val="00270156"/>
    <w:rsid w:val="0028121C"/>
    <w:rsid w:val="00286058"/>
    <w:rsid w:val="002916D8"/>
    <w:rsid w:val="002B5904"/>
    <w:rsid w:val="002C7A16"/>
    <w:rsid w:val="002D3A86"/>
    <w:rsid w:val="002D5E9D"/>
    <w:rsid w:val="00304472"/>
    <w:rsid w:val="00323F51"/>
    <w:rsid w:val="00324827"/>
    <w:rsid w:val="003357B5"/>
    <w:rsid w:val="00335C76"/>
    <w:rsid w:val="00351EF7"/>
    <w:rsid w:val="003620B7"/>
    <w:rsid w:val="003729A0"/>
    <w:rsid w:val="003A1911"/>
    <w:rsid w:val="003A2138"/>
    <w:rsid w:val="003B6F72"/>
    <w:rsid w:val="003C0C26"/>
    <w:rsid w:val="003C5B43"/>
    <w:rsid w:val="003D546C"/>
    <w:rsid w:val="003E205A"/>
    <w:rsid w:val="003E3B08"/>
    <w:rsid w:val="003E4D90"/>
    <w:rsid w:val="003F4E1B"/>
    <w:rsid w:val="004043E8"/>
    <w:rsid w:val="00411497"/>
    <w:rsid w:val="00413F70"/>
    <w:rsid w:val="004345EE"/>
    <w:rsid w:val="00437ABB"/>
    <w:rsid w:val="00440355"/>
    <w:rsid w:val="00453C76"/>
    <w:rsid w:val="00472000"/>
    <w:rsid w:val="0047406A"/>
    <w:rsid w:val="004779DC"/>
    <w:rsid w:val="00481839"/>
    <w:rsid w:val="00483137"/>
    <w:rsid w:val="004936FE"/>
    <w:rsid w:val="004A23F0"/>
    <w:rsid w:val="004A60AB"/>
    <w:rsid w:val="004B183A"/>
    <w:rsid w:val="004B1CA8"/>
    <w:rsid w:val="004C0BB7"/>
    <w:rsid w:val="004C0BFB"/>
    <w:rsid w:val="004C34CD"/>
    <w:rsid w:val="004D2201"/>
    <w:rsid w:val="004D285F"/>
    <w:rsid w:val="004D4340"/>
    <w:rsid w:val="004D6FB9"/>
    <w:rsid w:val="004D7839"/>
    <w:rsid w:val="004F1A45"/>
    <w:rsid w:val="004F610C"/>
    <w:rsid w:val="005275F6"/>
    <w:rsid w:val="00543CE7"/>
    <w:rsid w:val="00555B5E"/>
    <w:rsid w:val="00556502"/>
    <w:rsid w:val="00564151"/>
    <w:rsid w:val="005903BD"/>
    <w:rsid w:val="005C2FBA"/>
    <w:rsid w:val="005C5C17"/>
    <w:rsid w:val="005F23D2"/>
    <w:rsid w:val="006008BD"/>
    <w:rsid w:val="00611A46"/>
    <w:rsid w:val="00613DC9"/>
    <w:rsid w:val="006203A0"/>
    <w:rsid w:val="00647D38"/>
    <w:rsid w:val="00654BE1"/>
    <w:rsid w:val="00655989"/>
    <w:rsid w:val="006648B4"/>
    <w:rsid w:val="00671A83"/>
    <w:rsid w:val="00675A34"/>
    <w:rsid w:val="0069460A"/>
    <w:rsid w:val="006A08F6"/>
    <w:rsid w:val="006A22E3"/>
    <w:rsid w:val="006C2414"/>
    <w:rsid w:val="006E2A8B"/>
    <w:rsid w:val="006F527E"/>
    <w:rsid w:val="007127A8"/>
    <w:rsid w:val="00713317"/>
    <w:rsid w:val="00713C67"/>
    <w:rsid w:val="007165EF"/>
    <w:rsid w:val="00717A72"/>
    <w:rsid w:val="007217B1"/>
    <w:rsid w:val="00726277"/>
    <w:rsid w:val="00731C15"/>
    <w:rsid w:val="00735E16"/>
    <w:rsid w:val="00736CC9"/>
    <w:rsid w:val="0074349D"/>
    <w:rsid w:val="00753D73"/>
    <w:rsid w:val="00790C8A"/>
    <w:rsid w:val="007A0FD7"/>
    <w:rsid w:val="007B7FFE"/>
    <w:rsid w:val="007C3586"/>
    <w:rsid w:val="007D10D5"/>
    <w:rsid w:val="007D6334"/>
    <w:rsid w:val="007E15A8"/>
    <w:rsid w:val="007E21BC"/>
    <w:rsid w:val="007E2AD4"/>
    <w:rsid w:val="007F6A60"/>
    <w:rsid w:val="00805A66"/>
    <w:rsid w:val="00862E83"/>
    <w:rsid w:val="0086352D"/>
    <w:rsid w:val="00877990"/>
    <w:rsid w:val="00895563"/>
    <w:rsid w:val="008A4873"/>
    <w:rsid w:val="008E3611"/>
    <w:rsid w:val="008E5434"/>
    <w:rsid w:val="008F6B26"/>
    <w:rsid w:val="009105CE"/>
    <w:rsid w:val="009114BE"/>
    <w:rsid w:val="00953033"/>
    <w:rsid w:val="00965D5A"/>
    <w:rsid w:val="0096760D"/>
    <w:rsid w:val="00970C4F"/>
    <w:rsid w:val="00977C45"/>
    <w:rsid w:val="00984AF3"/>
    <w:rsid w:val="0099530A"/>
    <w:rsid w:val="009F2BBD"/>
    <w:rsid w:val="00A514CF"/>
    <w:rsid w:val="00A527F1"/>
    <w:rsid w:val="00AA32BF"/>
    <w:rsid w:val="00AC0041"/>
    <w:rsid w:val="00AD4560"/>
    <w:rsid w:val="00AE2273"/>
    <w:rsid w:val="00AE6089"/>
    <w:rsid w:val="00AF0200"/>
    <w:rsid w:val="00AF7919"/>
    <w:rsid w:val="00B11A71"/>
    <w:rsid w:val="00B12CF2"/>
    <w:rsid w:val="00B50475"/>
    <w:rsid w:val="00B52E4C"/>
    <w:rsid w:val="00B720AE"/>
    <w:rsid w:val="00B8056A"/>
    <w:rsid w:val="00B9418E"/>
    <w:rsid w:val="00BA1470"/>
    <w:rsid w:val="00BD3C07"/>
    <w:rsid w:val="00BE3C02"/>
    <w:rsid w:val="00BE7658"/>
    <w:rsid w:val="00BE7C81"/>
    <w:rsid w:val="00BE7DEF"/>
    <w:rsid w:val="00BF4626"/>
    <w:rsid w:val="00BF74D6"/>
    <w:rsid w:val="00C11319"/>
    <w:rsid w:val="00C1386E"/>
    <w:rsid w:val="00C26AAA"/>
    <w:rsid w:val="00C27DC0"/>
    <w:rsid w:val="00C531B0"/>
    <w:rsid w:val="00C77611"/>
    <w:rsid w:val="00C80102"/>
    <w:rsid w:val="00C96FCB"/>
    <w:rsid w:val="00CA5D50"/>
    <w:rsid w:val="00CD4910"/>
    <w:rsid w:val="00CE48E2"/>
    <w:rsid w:val="00CF12BD"/>
    <w:rsid w:val="00CF2B5B"/>
    <w:rsid w:val="00D02F06"/>
    <w:rsid w:val="00D13779"/>
    <w:rsid w:val="00D35D1F"/>
    <w:rsid w:val="00D401DC"/>
    <w:rsid w:val="00D57B11"/>
    <w:rsid w:val="00D670EE"/>
    <w:rsid w:val="00D94281"/>
    <w:rsid w:val="00DD01DB"/>
    <w:rsid w:val="00DD2840"/>
    <w:rsid w:val="00DD371E"/>
    <w:rsid w:val="00DF024B"/>
    <w:rsid w:val="00DF780B"/>
    <w:rsid w:val="00E14841"/>
    <w:rsid w:val="00E4049E"/>
    <w:rsid w:val="00E40B0B"/>
    <w:rsid w:val="00E45D6B"/>
    <w:rsid w:val="00E6401A"/>
    <w:rsid w:val="00E946C6"/>
    <w:rsid w:val="00EA558E"/>
    <w:rsid w:val="00EB4CC3"/>
    <w:rsid w:val="00EC4E14"/>
    <w:rsid w:val="00ED13E8"/>
    <w:rsid w:val="00EF27CD"/>
    <w:rsid w:val="00EF3E94"/>
    <w:rsid w:val="00F12424"/>
    <w:rsid w:val="00F2158A"/>
    <w:rsid w:val="00F32D95"/>
    <w:rsid w:val="00F45F99"/>
    <w:rsid w:val="00F5179C"/>
    <w:rsid w:val="00F522A4"/>
    <w:rsid w:val="00F70C0E"/>
    <w:rsid w:val="00F823AD"/>
    <w:rsid w:val="00F84793"/>
    <w:rsid w:val="00FB29BD"/>
    <w:rsid w:val="00FB64AB"/>
    <w:rsid w:val="00FB7080"/>
    <w:rsid w:val="00FD6A5D"/>
    <w:rsid w:val="00FE3611"/>
    <w:rsid w:val="00FE6146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36FE"/>
    <w:rPr>
      <w:rFonts w:ascii="Times New Roman" w:eastAsia="Times New Roman" w:hAnsi="Times New Roman" w:cs="Times New Roman"/>
      <w:b/>
      <w:bCs/>
      <w:kern w:val="36"/>
      <w:sz w:val="48"/>
      <w:szCs w:val="48"/>
      <w:lang w:eastAsia="ka-GE"/>
    </w:rPr>
  </w:style>
  <w:style w:type="paragraph" w:styleId="NormalWeb">
    <w:name w:val="Normal (Web)"/>
    <w:basedOn w:val="Normal"/>
    <w:uiPriority w:val="99"/>
    <w:semiHidden/>
    <w:unhideWhenUsed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css-38z03z">
    <w:name w:val="css-38z03z"/>
    <w:basedOn w:val="Normal"/>
    <w:rsid w:val="00493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8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6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.com/sites/suzannerowankelleher/2021/02/05/these-european-countries-are-launching-vaccine-passports/?sh=4bfc4e7d77a5" TargetMode="External"/><Relationship Id="rId3" Type="http://schemas.openxmlformats.org/officeDocument/2006/relationships/hyperlink" Target="https://www.euronews.com/2021/02/08/covid-19-ukraine-set-to-launch-coronavirus-vaccination-programme" TargetMode="External"/><Relationship Id="rId7" Type="http://schemas.openxmlformats.org/officeDocument/2006/relationships/hyperlink" Target="https://www.who.int/ihr/ports_airports/icvp/en/" TargetMode="External"/><Relationship Id="rId2" Type="http://schemas.openxmlformats.org/officeDocument/2006/relationships/hyperlink" Target="https://eurasianet.org/azerbaijan-starts-mass-covid-19-vaccinations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nature.com/articles/d41586-021-00316-4" TargetMode="External"/><Relationship Id="rId11" Type="http://schemas.openxmlformats.org/officeDocument/2006/relationships/hyperlink" Target="https://www.theguardian.com/business/2021/feb/10/astrazeneca-to-build-new-covid-19-vaccine-facility-in-germany" TargetMode="External"/><Relationship Id="rId5" Type="http://schemas.openxmlformats.org/officeDocument/2006/relationships/hyperlink" Target="https://www.aljazeera.com/news/2021/2/9/iran-starts-covid-vaccinations-with-sputnik-v" TargetMode="External"/><Relationship Id="rId10" Type="http://schemas.openxmlformats.org/officeDocument/2006/relationships/hyperlink" Target="https://www.theguardian.com/world/2021/feb/10/who-backs-use-of-oxfordastrazeneca-covid-vaccine-for-adults-of-all-ages" TargetMode="External"/><Relationship Id="rId4" Type="http://schemas.openxmlformats.org/officeDocument/2006/relationships/hyperlink" Target="https://www.nytimes.com/interactive/2020/science/coronavirus-vaccine-tracker.html" TargetMode="External"/><Relationship Id="rId9" Type="http://schemas.openxmlformats.org/officeDocument/2006/relationships/hyperlink" Target="https://www.bloomberg.com/news/articles/2021-02-10/astrazeneca-vaccine-recommended-for-all-adults-by-who-panel?utm_content=business&amp;cmpid=socialflow-twitter-business&amp;utm_medium=social&amp;utm_campaign=socialflow-organic&amp;utm_source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5</cp:revision>
  <dcterms:created xsi:type="dcterms:W3CDTF">2021-02-11T19:02:00Z</dcterms:created>
  <dcterms:modified xsi:type="dcterms:W3CDTF">2021-02-11T19:33:00Z</dcterms:modified>
</cp:coreProperties>
</file>